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999" w:type="dxa"/>
        <w:jc w:val="center"/>
        <w:tblLayout w:type="fixed"/>
        <w:tblCellMar>
          <w:top w:w="0" w:type="dxa"/>
          <w:left w:w="0" w:type="dxa"/>
          <w:bottom w:w="0" w:type="dxa"/>
          <w:right w:w="0" w:type="dxa"/>
        </w:tblCellMar>
      </w:tblPr>
      <w:tblGrid>
        <w:gridCol w:w="8999"/>
      </w:tblGrid>
      <w:tr w14:paraId="127A31E9">
        <w:tblPrEx>
          <w:tblCellMar>
            <w:top w:w="0" w:type="dxa"/>
            <w:left w:w="0" w:type="dxa"/>
            <w:bottom w:w="0" w:type="dxa"/>
            <w:right w:w="0" w:type="dxa"/>
          </w:tblCellMar>
        </w:tblPrEx>
        <w:trPr>
          <w:cantSplit/>
          <w:trHeight w:val="1474" w:hRule="exact"/>
          <w:jc w:val="center"/>
        </w:trPr>
        <w:tc>
          <w:tcPr>
            <w:tcW w:w="8999" w:type="dxa"/>
            <w:tcBorders>
              <w:bottom w:val="nil"/>
            </w:tcBorders>
            <w:vAlign w:val="center"/>
          </w:tcPr>
          <w:p w14:paraId="431B8997">
            <w:pPr>
              <w:spacing w:line="240" w:lineRule="auto"/>
              <w:ind w:firstLine="652"/>
              <w:jc w:val="right"/>
              <w:rPr>
                <w:rFonts w:eastAsia="黑体"/>
              </w:rPr>
            </w:pPr>
            <w:bookmarkStart w:id="5" w:name="_GoBack"/>
            <w:bookmarkEnd w:id="5"/>
          </w:p>
        </w:tc>
      </w:tr>
      <w:tr w14:paraId="5608DDC0">
        <w:tblPrEx>
          <w:tblCellMar>
            <w:top w:w="0" w:type="dxa"/>
            <w:left w:w="0" w:type="dxa"/>
            <w:bottom w:w="0" w:type="dxa"/>
            <w:right w:w="0" w:type="dxa"/>
          </w:tblCellMar>
        </w:tblPrEx>
        <w:trPr>
          <w:cantSplit/>
          <w:trHeight w:val="1644" w:hRule="exact"/>
          <w:jc w:val="center"/>
        </w:trPr>
        <w:tc>
          <w:tcPr>
            <w:tcW w:w="8999" w:type="dxa"/>
            <w:vAlign w:val="center"/>
          </w:tcPr>
          <w:p w14:paraId="74D97921">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14:paraId="216B00FF">
        <w:tblPrEx>
          <w:tblCellMar>
            <w:top w:w="0" w:type="dxa"/>
            <w:left w:w="0" w:type="dxa"/>
            <w:bottom w:w="0" w:type="dxa"/>
            <w:right w:w="0" w:type="dxa"/>
          </w:tblCellMar>
        </w:tblPrEx>
        <w:trPr>
          <w:cantSplit/>
          <w:trHeight w:val="680" w:hRule="exact"/>
          <w:jc w:val="center"/>
        </w:trPr>
        <w:tc>
          <w:tcPr>
            <w:tcW w:w="8999" w:type="dxa"/>
            <w:vAlign w:val="center"/>
          </w:tcPr>
          <w:p w14:paraId="2D2FE4D8">
            <w:pPr>
              <w:spacing w:line="240" w:lineRule="auto"/>
              <w:jc w:val="center"/>
              <w:rPr>
                <w:b/>
                <w:color w:val="FF0000"/>
                <w:sz w:val="52"/>
              </w:rPr>
            </w:pPr>
          </w:p>
        </w:tc>
      </w:tr>
      <w:tr w14:paraId="49601469">
        <w:tblPrEx>
          <w:tblCellMar>
            <w:top w:w="0" w:type="dxa"/>
            <w:left w:w="0" w:type="dxa"/>
            <w:bottom w:w="0" w:type="dxa"/>
            <w:right w:w="0" w:type="dxa"/>
          </w:tblCellMar>
        </w:tblPrEx>
        <w:trPr>
          <w:cantSplit/>
          <w:trHeight w:val="680" w:hRule="exact"/>
          <w:jc w:val="center"/>
        </w:trPr>
        <w:tc>
          <w:tcPr>
            <w:tcW w:w="8999" w:type="dxa"/>
            <w:tcMar>
              <w:left w:w="0" w:type="dxa"/>
              <w:right w:w="0" w:type="dxa"/>
            </w:tcMar>
            <w:vAlign w:val="bottom"/>
          </w:tcPr>
          <w:p w14:paraId="2111F7E7">
            <w:pPr>
              <w:spacing w:line="240" w:lineRule="auto"/>
              <w:jc w:val="center"/>
            </w:pPr>
            <w:bookmarkStart w:id="0" w:name="文号"/>
            <w:r>
              <w:rPr>
                <w:rFonts w:hint="eastAsia"/>
              </w:rPr>
              <w:t>浙师研字〔2025〕11号</w:t>
            </w:r>
            <w:bookmarkEnd w:id="0"/>
          </w:p>
        </w:tc>
      </w:tr>
      <w:tr w14:paraId="2B2E1B7A">
        <w:tblPrEx>
          <w:tblCellMar>
            <w:top w:w="0" w:type="dxa"/>
            <w:left w:w="0" w:type="dxa"/>
            <w:bottom w:w="0" w:type="dxa"/>
            <w:right w:w="0" w:type="dxa"/>
          </w:tblCellMar>
        </w:tblPrEx>
        <w:trPr>
          <w:cantSplit/>
          <w:trHeight w:val="170" w:hRule="exact"/>
          <w:jc w:val="center"/>
        </w:trPr>
        <w:tc>
          <w:tcPr>
            <w:tcW w:w="8999" w:type="dxa"/>
            <w:tcBorders>
              <w:bottom w:val="single" w:color="FF0000" w:sz="18" w:space="0"/>
            </w:tcBorders>
            <w:vAlign w:val="center"/>
          </w:tcPr>
          <w:p w14:paraId="05FBE287">
            <w:pPr>
              <w:spacing w:line="240" w:lineRule="auto"/>
              <w:jc w:val="center"/>
              <w:rPr>
                <w:b/>
                <w:sz w:val="21"/>
              </w:rPr>
            </w:pPr>
          </w:p>
        </w:tc>
      </w:tr>
      <w:tr w14:paraId="291514A4">
        <w:tblPrEx>
          <w:tblCellMar>
            <w:top w:w="0" w:type="dxa"/>
            <w:left w:w="0" w:type="dxa"/>
            <w:bottom w:w="0" w:type="dxa"/>
            <w:right w:w="0" w:type="dxa"/>
          </w:tblCellMar>
        </w:tblPrEx>
        <w:trPr>
          <w:cantSplit/>
          <w:trHeight w:val="1134" w:hRule="exact"/>
          <w:jc w:val="center"/>
        </w:trPr>
        <w:tc>
          <w:tcPr>
            <w:tcW w:w="8999" w:type="dxa"/>
            <w:tcBorders>
              <w:top w:val="single" w:color="FF0000" w:sz="18" w:space="0"/>
            </w:tcBorders>
            <w:vAlign w:val="center"/>
          </w:tcPr>
          <w:p w14:paraId="22E0E745">
            <w:pPr>
              <w:spacing w:line="240" w:lineRule="auto"/>
              <w:jc w:val="center"/>
              <w:rPr>
                <w:b/>
                <w:sz w:val="44"/>
              </w:rPr>
            </w:pPr>
          </w:p>
        </w:tc>
      </w:tr>
      <w:tr w14:paraId="41B1A377">
        <w:tblPrEx>
          <w:tblCellMar>
            <w:top w:w="0" w:type="dxa"/>
            <w:left w:w="0" w:type="dxa"/>
            <w:bottom w:w="0" w:type="dxa"/>
            <w:right w:w="0" w:type="dxa"/>
          </w:tblCellMar>
        </w:tblPrEx>
        <w:trPr>
          <w:cantSplit/>
          <w:trHeight w:val="567" w:hRule="atLeast"/>
          <w:jc w:val="center"/>
        </w:trPr>
        <w:tc>
          <w:tcPr>
            <w:tcW w:w="8999" w:type="dxa"/>
            <w:vAlign w:val="center"/>
          </w:tcPr>
          <w:p w14:paraId="28C59180">
            <w:pPr>
              <w:spacing w:line="640" w:lineRule="exact"/>
              <w:jc w:val="center"/>
              <w:rPr>
                <w:rFonts w:eastAsia="方正小标宋简体"/>
                <w:sz w:val="44"/>
              </w:rPr>
            </w:pPr>
            <w:bookmarkStart w:id="1" w:name="标题"/>
            <w:r>
              <w:rPr>
                <w:rFonts w:hint="eastAsia" w:eastAsia="方正小标宋简体"/>
                <w:sz w:val="44"/>
              </w:rPr>
              <w:t>浙江师范大学关于印发博士、硕士学位</w:t>
            </w:r>
          </w:p>
          <w:p w14:paraId="3E6B9EA3">
            <w:pPr>
              <w:spacing w:line="640" w:lineRule="exact"/>
              <w:jc w:val="center"/>
              <w:rPr>
                <w:rFonts w:eastAsia="方正小标宋简体"/>
                <w:sz w:val="44"/>
              </w:rPr>
            </w:pPr>
            <w:r>
              <w:rPr>
                <w:rFonts w:hint="eastAsia" w:eastAsia="方正小标宋简体"/>
                <w:sz w:val="44"/>
              </w:rPr>
              <w:t>授予工作细则（修订）的通知</w:t>
            </w:r>
            <w:bookmarkEnd w:id="1"/>
          </w:p>
        </w:tc>
      </w:tr>
      <w:tr w14:paraId="5755D0DC">
        <w:tblPrEx>
          <w:tblCellMar>
            <w:top w:w="0" w:type="dxa"/>
            <w:left w:w="0" w:type="dxa"/>
            <w:bottom w:w="0" w:type="dxa"/>
            <w:right w:w="0" w:type="dxa"/>
          </w:tblCellMar>
        </w:tblPrEx>
        <w:trPr>
          <w:cantSplit/>
          <w:trHeight w:val="851" w:hRule="exact"/>
          <w:jc w:val="center"/>
        </w:trPr>
        <w:tc>
          <w:tcPr>
            <w:tcW w:w="8999" w:type="dxa"/>
            <w:vAlign w:val="center"/>
          </w:tcPr>
          <w:p w14:paraId="56D8D44F">
            <w:pPr>
              <w:spacing w:line="240" w:lineRule="auto"/>
              <w:jc w:val="center"/>
              <w:rPr>
                <w:b/>
                <w:sz w:val="24"/>
              </w:rPr>
            </w:pPr>
          </w:p>
        </w:tc>
      </w:tr>
      <w:tr w14:paraId="675789E5">
        <w:tblPrEx>
          <w:tblCellMar>
            <w:top w:w="0" w:type="dxa"/>
            <w:left w:w="0" w:type="dxa"/>
            <w:bottom w:w="0" w:type="dxa"/>
            <w:right w:w="0" w:type="dxa"/>
          </w:tblCellMar>
        </w:tblPrEx>
        <w:trPr>
          <w:cantSplit/>
          <w:trHeight w:val="567" w:hRule="atLeast"/>
          <w:jc w:val="center"/>
        </w:trPr>
        <w:tc>
          <w:tcPr>
            <w:tcW w:w="8999" w:type="dxa"/>
            <w:vAlign w:val="center"/>
          </w:tcPr>
          <w:p w14:paraId="123A72EC">
            <w:pPr>
              <w:spacing w:line="240" w:lineRule="auto"/>
            </w:pPr>
            <w:bookmarkStart w:id="2" w:name="主送单位"/>
            <w:r>
              <w:rPr>
                <w:rFonts w:hint="eastAsia"/>
              </w:rPr>
              <w:t>各学院、部门（单位）</w:t>
            </w:r>
            <w:bookmarkEnd w:id="2"/>
            <w:r>
              <w:t>：</w:t>
            </w:r>
          </w:p>
        </w:tc>
      </w:tr>
    </w:tbl>
    <w:p w14:paraId="42EAC1C3">
      <w:pPr>
        <w:adjustRightInd w:val="0"/>
        <w:snapToGrid w:val="0"/>
        <w:spacing w:line="560" w:lineRule="exact"/>
        <w:ind w:firstLine="640" w:firstLineChars="200"/>
      </w:pPr>
      <w:r>
        <w:rPr>
          <w:rFonts w:hint="eastAsia"/>
        </w:rPr>
        <w:t>现将《浙江师范大学博士、硕士学位授予工作细则（修订）》印发给你们，请遵照执行。</w:t>
      </w:r>
    </w:p>
    <w:p w14:paraId="43181B39">
      <w:pPr>
        <w:adjustRightInd w:val="0"/>
        <w:snapToGrid w:val="0"/>
        <w:spacing w:line="560" w:lineRule="exact"/>
        <w:ind w:firstLine="640" w:firstLineChars="200"/>
      </w:pPr>
    </w:p>
    <w:p w14:paraId="0ED93B31">
      <w:pPr>
        <w:adjustRightInd w:val="0"/>
        <w:snapToGrid w:val="0"/>
        <w:spacing w:line="560" w:lineRule="exact"/>
        <w:ind w:firstLine="640" w:firstLineChars="200"/>
      </w:pPr>
    </w:p>
    <w:p w14:paraId="3EC08657">
      <w:pPr>
        <w:adjustRightInd w:val="0"/>
        <w:snapToGrid w:val="0"/>
        <w:spacing w:line="560" w:lineRule="exact"/>
        <w:ind w:firstLine="640" w:firstLineChars="200"/>
      </w:pPr>
    </w:p>
    <w:p w14:paraId="7AEE92A4">
      <w:pPr>
        <w:adjustRightInd w:val="0"/>
        <w:snapToGrid w:val="0"/>
        <w:spacing w:line="560" w:lineRule="exact"/>
        <w:ind w:firstLine="3840" w:firstLineChars="1200"/>
        <w:jc w:val="center"/>
      </w:pPr>
      <w:r>
        <w:rPr>
          <w:rFonts w:hint="eastAsia"/>
        </w:rPr>
        <w:t>浙江师范大学</w:t>
      </w:r>
    </w:p>
    <w:p w14:paraId="2D7C9205">
      <w:pPr>
        <w:adjustRightInd w:val="0"/>
        <w:snapToGrid w:val="0"/>
        <w:spacing w:line="560" w:lineRule="exact"/>
        <w:ind w:firstLine="3840" w:firstLineChars="1200"/>
        <w:jc w:val="center"/>
      </w:pPr>
      <w:r>
        <w:rPr>
          <w:rFonts w:hint="eastAsia"/>
        </w:rPr>
        <w:t>2025年4月</w:t>
      </w:r>
      <w:r>
        <w:t>1</w:t>
      </w:r>
      <w:r>
        <w:rPr>
          <w:rFonts w:hint="eastAsia"/>
        </w:rPr>
        <w:t>4日</w:t>
      </w:r>
    </w:p>
    <w:p w14:paraId="0C37E5D1">
      <w:pPr>
        <w:adjustRightInd w:val="0"/>
        <w:snapToGrid w:val="0"/>
        <w:spacing w:line="320" w:lineRule="exact"/>
      </w:pPr>
    </w:p>
    <w:p w14:paraId="57783474">
      <w:pPr>
        <w:adjustRightInd w:val="0"/>
        <w:snapToGrid w:val="0"/>
        <w:spacing w:line="320" w:lineRule="exact"/>
      </w:pPr>
    </w:p>
    <w:p w14:paraId="39812274">
      <w:pPr>
        <w:adjustRightInd w:val="0"/>
        <w:snapToGrid w:val="0"/>
        <w:spacing w:line="640" w:lineRule="exact"/>
        <w:jc w:val="center"/>
        <w:rPr>
          <w:rFonts w:eastAsia="方正小标宋简体"/>
          <w:sz w:val="44"/>
          <w:szCs w:val="44"/>
        </w:rPr>
      </w:pPr>
      <w:r>
        <w:rPr>
          <w:rFonts w:hint="eastAsia" w:eastAsia="方正小标宋简体"/>
          <w:sz w:val="44"/>
          <w:szCs w:val="44"/>
        </w:rPr>
        <w:t>浙江师范大学博士、硕士学位</w:t>
      </w:r>
    </w:p>
    <w:p w14:paraId="2A138D97">
      <w:pPr>
        <w:adjustRightInd w:val="0"/>
        <w:snapToGrid w:val="0"/>
        <w:spacing w:line="640" w:lineRule="exact"/>
        <w:jc w:val="center"/>
        <w:rPr>
          <w:rFonts w:eastAsia="方正小标宋简体"/>
          <w:sz w:val="44"/>
          <w:szCs w:val="44"/>
        </w:rPr>
      </w:pPr>
      <w:r>
        <w:rPr>
          <w:rFonts w:hint="eastAsia" w:eastAsia="方正小标宋简体"/>
          <w:sz w:val="44"/>
          <w:szCs w:val="44"/>
        </w:rPr>
        <w:t>授予工作细则（修订）</w:t>
      </w:r>
    </w:p>
    <w:p w14:paraId="4B2B9E57">
      <w:pPr>
        <w:adjustRightInd w:val="0"/>
        <w:snapToGrid w:val="0"/>
        <w:spacing w:line="320" w:lineRule="exact"/>
      </w:pPr>
    </w:p>
    <w:p w14:paraId="63664A31">
      <w:pPr>
        <w:adjustRightInd w:val="0"/>
        <w:snapToGrid w:val="0"/>
        <w:spacing w:line="320" w:lineRule="exact"/>
      </w:pPr>
    </w:p>
    <w:p w14:paraId="66392ACA">
      <w:pPr>
        <w:adjustRightInd w:val="0"/>
        <w:snapToGrid w:val="0"/>
        <w:spacing w:before="156" w:beforeLines="50" w:after="156" w:afterLines="50" w:line="530" w:lineRule="exact"/>
        <w:jc w:val="center"/>
        <w:rPr>
          <w:rFonts w:eastAsia="黑体"/>
          <w:szCs w:val="32"/>
        </w:rPr>
      </w:pPr>
      <w:r>
        <w:rPr>
          <w:rFonts w:eastAsia="黑体"/>
          <w:szCs w:val="32"/>
        </w:rPr>
        <w:t>第一章</w:t>
      </w:r>
      <w:r>
        <w:rPr>
          <w:rFonts w:hint="eastAsia" w:eastAsia="黑体"/>
          <w:szCs w:val="32"/>
        </w:rPr>
        <w:t>　</w:t>
      </w:r>
      <w:r>
        <w:rPr>
          <w:rFonts w:eastAsia="黑体"/>
          <w:szCs w:val="32"/>
        </w:rPr>
        <w:t>总则</w:t>
      </w:r>
    </w:p>
    <w:p w14:paraId="3A2B844A">
      <w:pPr>
        <w:adjustRightInd w:val="0"/>
        <w:snapToGrid w:val="0"/>
        <w:spacing w:line="530" w:lineRule="exact"/>
        <w:ind w:firstLine="640" w:firstLineChars="200"/>
        <w:rPr>
          <w:szCs w:val="32"/>
        </w:rPr>
      </w:pPr>
      <w:r>
        <w:rPr>
          <w:rFonts w:eastAsia="黑体" w:cs="黑体"/>
          <w:szCs w:val="32"/>
        </w:rPr>
        <w:t>第一条</w:t>
      </w:r>
      <w:r>
        <w:rPr>
          <w:rFonts w:hint="eastAsia"/>
          <w:szCs w:val="32"/>
        </w:rPr>
        <w:t>　</w:t>
      </w:r>
      <w:r>
        <w:rPr>
          <w:szCs w:val="32"/>
        </w:rPr>
        <w:t>本细则根据《中华人民共和国学位法》以及国家相关文件，结合本校实际情况制定。</w:t>
      </w:r>
    </w:p>
    <w:p w14:paraId="327EDCDB">
      <w:pPr>
        <w:adjustRightInd w:val="0"/>
        <w:snapToGrid w:val="0"/>
        <w:spacing w:line="530" w:lineRule="exact"/>
        <w:ind w:firstLine="640" w:firstLineChars="200"/>
        <w:rPr>
          <w:szCs w:val="32"/>
        </w:rPr>
      </w:pPr>
      <w:r>
        <w:rPr>
          <w:rFonts w:eastAsia="黑体" w:cs="黑体"/>
          <w:szCs w:val="32"/>
        </w:rPr>
        <w:t>第二条</w:t>
      </w:r>
      <w:r>
        <w:rPr>
          <w:rFonts w:hint="eastAsia"/>
          <w:szCs w:val="32"/>
        </w:rPr>
        <w:t>　</w:t>
      </w:r>
      <w:r>
        <w:rPr>
          <w:szCs w:val="32"/>
        </w:rPr>
        <w:t>我校按照经国务院学位委员会批准的学科门类或专业学位类别授予博士、硕士学位。</w:t>
      </w:r>
    </w:p>
    <w:p w14:paraId="47EB8C75">
      <w:pPr>
        <w:adjustRightInd w:val="0"/>
        <w:snapToGrid w:val="0"/>
        <w:spacing w:before="156" w:beforeLines="50" w:after="156" w:afterLines="50" w:line="530" w:lineRule="exact"/>
        <w:jc w:val="center"/>
        <w:rPr>
          <w:rFonts w:eastAsia="黑体"/>
          <w:szCs w:val="32"/>
        </w:rPr>
      </w:pPr>
      <w:r>
        <w:rPr>
          <w:rFonts w:eastAsia="黑体"/>
          <w:szCs w:val="32"/>
        </w:rPr>
        <w:t>第二章</w:t>
      </w:r>
      <w:r>
        <w:rPr>
          <w:rFonts w:hint="eastAsia" w:eastAsia="黑体"/>
          <w:szCs w:val="32"/>
        </w:rPr>
        <w:t>　</w:t>
      </w:r>
      <w:r>
        <w:rPr>
          <w:rFonts w:eastAsia="黑体"/>
          <w:szCs w:val="32"/>
        </w:rPr>
        <w:t>学位评定委员会</w:t>
      </w:r>
    </w:p>
    <w:p w14:paraId="3278489C">
      <w:pPr>
        <w:adjustRightInd w:val="0"/>
        <w:snapToGrid w:val="0"/>
        <w:spacing w:line="530" w:lineRule="exact"/>
        <w:ind w:firstLine="640" w:firstLineChars="200"/>
        <w:rPr>
          <w:szCs w:val="32"/>
        </w:rPr>
      </w:pPr>
      <w:r>
        <w:rPr>
          <w:rFonts w:eastAsia="黑体" w:cs="黑体"/>
          <w:szCs w:val="32"/>
        </w:rPr>
        <w:t>第三条</w:t>
      </w:r>
      <w:r>
        <w:rPr>
          <w:rFonts w:hint="eastAsia"/>
          <w:szCs w:val="32"/>
        </w:rPr>
        <w:t>　</w:t>
      </w:r>
      <w:r>
        <w:rPr>
          <w:szCs w:val="32"/>
        </w:rPr>
        <w:t>学校设立校、院两级学位评定委员会。全校的博士、硕士学位授予工作由校学位评定委员会负责审定。学院（学部、科研机构，以下简称学院）学位评定分委员会负责审查通过授予博士、硕士学位人员的建议名单，报校学位评定委员会审定。</w:t>
      </w:r>
    </w:p>
    <w:p w14:paraId="4B8655EC">
      <w:pPr>
        <w:adjustRightInd w:val="0"/>
        <w:snapToGrid w:val="0"/>
        <w:spacing w:line="530" w:lineRule="exact"/>
        <w:ind w:firstLine="640" w:firstLineChars="200"/>
        <w:rPr>
          <w:szCs w:val="32"/>
        </w:rPr>
      </w:pPr>
      <w:r>
        <w:rPr>
          <w:rFonts w:eastAsia="黑体" w:cs="黑体"/>
          <w:szCs w:val="32"/>
        </w:rPr>
        <w:t>第四条</w:t>
      </w:r>
      <w:r>
        <w:rPr>
          <w:rFonts w:hint="eastAsia"/>
          <w:szCs w:val="32"/>
        </w:rPr>
        <w:t>　</w:t>
      </w:r>
      <w:r>
        <w:rPr>
          <w:szCs w:val="32"/>
        </w:rPr>
        <w:t>各级学位评定委员会全体委员会议应当有全体组成人员的三分之二以上出席。决议事项以投票方式表决，由全体组成人员的过半数通过。</w:t>
      </w:r>
    </w:p>
    <w:p w14:paraId="7B9B22FC">
      <w:pPr>
        <w:adjustRightInd w:val="0"/>
        <w:snapToGrid w:val="0"/>
        <w:spacing w:before="156" w:beforeLines="50" w:after="156" w:afterLines="50" w:line="530" w:lineRule="exact"/>
        <w:jc w:val="center"/>
        <w:rPr>
          <w:rFonts w:eastAsia="黑体"/>
          <w:szCs w:val="32"/>
        </w:rPr>
      </w:pPr>
      <w:r>
        <w:rPr>
          <w:rFonts w:eastAsia="黑体"/>
          <w:szCs w:val="32"/>
        </w:rPr>
        <w:t>第三章</w:t>
      </w:r>
      <w:r>
        <w:rPr>
          <w:rFonts w:hint="eastAsia" w:eastAsia="黑体"/>
          <w:szCs w:val="32"/>
        </w:rPr>
        <w:t>　</w:t>
      </w:r>
      <w:r>
        <w:rPr>
          <w:rFonts w:eastAsia="黑体"/>
          <w:szCs w:val="32"/>
        </w:rPr>
        <w:t>申请学位的资格条件</w:t>
      </w:r>
    </w:p>
    <w:p w14:paraId="099A1F1A">
      <w:pPr>
        <w:adjustRightInd w:val="0"/>
        <w:snapToGrid w:val="0"/>
        <w:spacing w:line="530" w:lineRule="exact"/>
        <w:ind w:firstLine="640" w:firstLineChars="200"/>
        <w:rPr>
          <w:szCs w:val="32"/>
        </w:rPr>
      </w:pPr>
      <w:r>
        <w:rPr>
          <w:rFonts w:eastAsia="黑体" w:cs="黑体"/>
          <w:szCs w:val="32"/>
        </w:rPr>
        <w:t>第五条</w:t>
      </w:r>
      <w:r>
        <w:rPr>
          <w:rFonts w:hint="eastAsia"/>
          <w:szCs w:val="32"/>
        </w:rPr>
        <w:t>　</w:t>
      </w:r>
      <w:r>
        <w:rPr>
          <w:szCs w:val="32"/>
        </w:rPr>
        <w:t>拥护中国共产党的领导，拥护社会主义制度，遵守宪法和法律，遵守学术道德和学术规范，达到相应学业要求、学术水平或者专业水平的，可以依照本细则申请相应学位。</w:t>
      </w:r>
    </w:p>
    <w:p w14:paraId="78A7DE2A">
      <w:pPr>
        <w:adjustRightInd w:val="0"/>
        <w:snapToGrid w:val="0"/>
        <w:spacing w:line="530" w:lineRule="exact"/>
        <w:ind w:firstLine="640" w:firstLineChars="200"/>
        <w:rPr>
          <w:szCs w:val="32"/>
        </w:rPr>
      </w:pPr>
      <w:r>
        <w:rPr>
          <w:rFonts w:eastAsia="黑体" w:cs="黑体"/>
          <w:szCs w:val="32"/>
        </w:rPr>
        <w:t>第六条</w:t>
      </w:r>
      <w:r>
        <w:rPr>
          <w:rFonts w:hint="eastAsia"/>
          <w:szCs w:val="32"/>
        </w:rPr>
        <w:t>　</w:t>
      </w:r>
      <w:r>
        <w:rPr>
          <w:szCs w:val="32"/>
        </w:rPr>
        <w:t>申请博士学位的资格条件</w:t>
      </w:r>
      <w:r>
        <w:rPr>
          <w:rFonts w:hint="eastAsia"/>
          <w:szCs w:val="32"/>
        </w:rPr>
        <w:t>：</w:t>
      </w:r>
    </w:p>
    <w:p w14:paraId="5B02FA86">
      <w:pPr>
        <w:adjustRightInd w:val="0"/>
        <w:snapToGrid w:val="0"/>
        <w:spacing w:line="530" w:lineRule="exact"/>
        <w:ind w:firstLine="640" w:firstLineChars="200"/>
        <w:rPr>
          <w:rFonts w:eastAsia="楷体_GB2312" w:cs="楷体_GB2312"/>
          <w:szCs w:val="32"/>
        </w:rPr>
      </w:pPr>
      <w:r>
        <w:rPr>
          <w:rFonts w:eastAsia="楷体_GB2312" w:cs="楷体_GB2312"/>
          <w:szCs w:val="32"/>
        </w:rPr>
        <w:t>（一）课程学习和考核要求</w:t>
      </w:r>
    </w:p>
    <w:p w14:paraId="1C51DDE5">
      <w:pPr>
        <w:adjustRightInd w:val="0"/>
        <w:snapToGrid w:val="0"/>
        <w:spacing w:line="530" w:lineRule="exact"/>
        <w:ind w:firstLine="640" w:firstLineChars="200"/>
        <w:rPr>
          <w:szCs w:val="32"/>
        </w:rPr>
      </w:pPr>
      <w:r>
        <w:rPr>
          <w:szCs w:val="32"/>
        </w:rPr>
        <w:t>博士研究生应在规定年限内完成本专业培养方案规定的全部课程、必修环节和实践任务，考核合格，取得规定的学分。</w:t>
      </w:r>
    </w:p>
    <w:p w14:paraId="0BBA4D4C">
      <w:pPr>
        <w:adjustRightInd w:val="0"/>
        <w:snapToGrid w:val="0"/>
        <w:spacing w:line="530" w:lineRule="exact"/>
        <w:ind w:firstLine="640" w:firstLineChars="200"/>
        <w:rPr>
          <w:rFonts w:eastAsia="楷体_GB2312" w:cs="楷体_GB2312"/>
          <w:szCs w:val="32"/>
        </w:rPr>
      </w:pPr>
      <w:r>
        <w:rPr>
          <w:rFonts w:eastAsia="楷体_GB2312" w:cs="楷体_GB2312"/>
          <w:szCs w:val="32"/>
        </w:rPr>
        <w:t>（二）科研成果要求</w:t>
      </w:r>
    </w:p>
    <w:p w14:paraId="05340B72">
      <w:pPr>
        <w:adjustRightInd w:val="0"/>
        <w:snapToGrid w:val="0"/>
        <w:spacing w:line="530" w:lineRule="exact"/>
        <w:ind w:firstLine="640" w:firstLineChars="200"/>
        <w:rPr>
          <w:szCs w:val="32"/>
        </w:rPr>
      </w:pPr>
      <w:r>
        <w:rPr>
          <w:szCs w:val="32"/>
        </w:rPr>
        <w:t>科研成果要求按照浙江师范大学关于博士研究生攻读学位期间取得创新性成果的要求执行。</w:t>
      </w:r>
    </w:p>
    <w:p w14:paraId="38A7B5AF">
      <w:pPr>
        <w:adjustRightInd w:val="0"/>
        <w:snapToGrid w:val="0"/>
        <w:spacing w:line="530" w:lineRule="exact"/>
        <w:ind w:firstLine="640" w:firstLineChars="200"/>
        <w:rPr>
          <w:szCs w:val="32"/>
        </w:rPr>
      </w:pPr>
      <w:r>
        <w:rPr>
          <w:rFonts w:eastAsia="黑体" w:cs="黑体"/>
          <w:szCs w:val="32"/>
        </w:rPr>
        <w:t>第七条</w:t>
      </w:r>
      <w:r>
        <w:rPr>
          <w:rFonts w:hint="eastAsia"/>
          <w:szCs w:val="32"/>
        </w:rPr>
        <w:t>　</w:t>
      </w:r>
      <w:r>
        <w:rPr>
          <w:szCs w:val="32"/>
        </w:rPr>
        <w:t>申请硕士学位的资格条件</w:t>
      </w:r>
    </w:p>
    <w:p w14:paraId="14F1C6EE">
      <w:pPr>
        <w:adjustRightInd w:val="0"/>
        <w:snapToGrid w:val="0"/>
        <w:spacing w:line="530" w:lineRule="exact"/>
        <w:ind w:firstLine="640" w:firstLineChars="200"/>
        <w:rPr>
          <w:rFonts w:eastAsia="楷体_GB2312" w:cs="楷体_GB2312"/>
          <w:szCs w:val="32"/>
        </w:rPr>
      </w:pPr>
      <w:r>
        <w:rPr>
          <w:rFonts w:eastAsia="楷体_GB2312" w:cs="楷体_GB2312"/>
          <w:szCs w:val="32"/>
        </w:rPr>
        <w:t>（一）课程学习和考核要求</w:t>
      </w:r>
    </w:p>
    <w:p w14:paraId="1A694F76">
      <w:pPr>
        <w:adjustRightInd w:val="0"/>
        <w:snapToGrid w:val="0"/>
        <w:spacing w:line="530" w:lineRule="exact"/>
        <w:ind w:firstLine="640" w:firstLineChars="200"/>
        <w:rPr>
          <w:szCs w:val="32"/>
        </w:rPr>
      </w:pPr>
      <w:r>
        <w:rPr>
          <w:szCs w:val="32"/>
        </w:rPr>
        <w:t>硕士研究生应在规定年限内完成本专业硕士研究生培养方案规定的全部课程、必修环节和实践任务，考核合格，取得规定的学分。</w:t>
      </w:r>
    </w:p>
    <w:p w14:paraId="551A21C8">
      <w:pPr>
        <w:adjustRightInd w:val="0"/>
        <w:snapToGrid w:val="0"/>
        <w:spacing w:line="530" w:lineRule="exact"/>
        <w:ind w:firstLine="640" w:firstLineChars="200"/>
        <w:rPr>
          <w:szCs w:val="32"/>
        </w:rPr>
      </w:pPr>
      <w:r>
        <w:rPr>
          <w:rFonts w:hint="eastAsia"/>
          <w:szCs w:val="32"/>
        </w:rPr>
        <w:t>以研究生毕业同等学力申请硕士学位人员（以下简称“同等学力人员”），须自通过资格审查之日起的4年内通过国家组织的水平考试，通过考试后方可进入课程学习，并在最长学习年限7年内考核合格，取得本专业硕士研究生培养方案规定的学分。</w:t>
      </w:r>
    </w:p>
    <w:p w14:paraId="668ECD2C">
      <w:pPr>
        <w:adjustRightInd w:val="0"/>
        <w:snapToGrid w:val="0"/>
        <w:spacing w:line="530" w:lineRule="exact"/>
        <w:ind w:firstLine="640" w:firstLineChars="200"/>
        <w:rPr>
          <w:rFonts w:eastAsia="楷体_GB2312" w:cs="楷体_GB2312"/>
          <w:szCs w:val="32"/>
        </w:rPr>
      </w:pPr>
      <w:r>
        <w:rPr>
          <w:rFonts w:eastAsia="楷体_GB2312" w:cs="楷体_GB2312"/>
          <w:szCs w:val="32"/>
        </w:rPr>
        <w:t>（二）科研成果要求</w:t>
      </w:r>
    </w:p>
    <w:p w14:paraId="0F61F0D2">
      <w:pPr>
        <w:adjustRightInd w:val="0"/>
        <w:snapToGrid w:val="0"/>
        <w:spacing w:line="530" w:lineRule="exact"/>
        <w:ind w:firstLine="640" w:firstLineChars="200"/>
        <w:rPr>
          <w:szCs w:val="32"/>
        </w:rPr>
      </w:pPr>
      <w:r>
        <w:rPr>
          <w:szCs w:val="32"/>
        </w:rPr>
        <w:t>硕士研究生在攻读学位期间，应取得与申请硕士学位相应的研究成果。</w:t>
      </w:r>
    </w:p>
    <w:p w14:paraId="3B6067FB">
      <w:pPr>
        <w:adjustRightInd w:val="0"/>
        <w:snapToGrid w:val="0"/>
        <w:spacing w:line="530" w:lineRule="exact"/>
        <w:ind w:firstLine="640" w:firstLineChars="200"/>
        <w:rPr>
          <w:szCs w:val="32"/>
        </w:rPr>
      </w:pPr>
      <w:r>
        <w:rPr>
          <w:rFonts w:eastAsia="Times New Roman"/>
          <w:szCs w:val="32"/>
        </w:rPr>
        <w:t>1</w:t>
      </w:r>
      <w:r>
        <w:rPr>
          <w:szCs w:val="32"/>
        </w:rPr>
        <w:t>．全日制学术型硕士研究生符合以下三条之一者可申请硕士学位：</w:t>
      </w:r>
    </w:p>
    <w:p w14:paraId="7C81CACB">
      <w:pPr>
        <w:adjustRightInd w:val="0"/>
        <w:snapToGrid w:val="0"/>
        <w:spacing w:line="530" w:lineRule="exact"/>
        <w:ind w:firstLine="640" w:firstLineChars="200"/>
        <w:rPr>
          <w:szCs w:val="32"/>
        </w:rPr>
      </w:pPr>
      <w:r>
        <w:rPr>
          <w:szCs w:val="32"/>
        </w:rPr>
        <w:t>（1）以第一作者（或导师为第一作者，本人为第二作者）公开发表科研成果（含学术论文、专著、译著、专利等）1项（含理工科一级及以上期刊录用或文科二级及以上期刊录用）；对于高水平的学术论文（人文社科类为《期刊定级标准》规定的权威期刊、理工科为SCIⅠ区、SCIⅡ区Top期刊收录论文）最多可确认2名共同作者；</w:t>
      </w:r>
    </w:p>
    <w:p w14:paraId="1A4DB9F2">
      <w:pPr>
        <w:adjustRightInd w:val="0"/>
        <w:snapToGrid w:val="0"/>
        <w:spacing w:line="530" w:lineRule="exact"/>
        <w:ind w:firstLine="640" w:firstLineChars="200"/>
        <w:rPr>
          <w:szCs w:val="32"/>
        </w:rPr>
      </w:pPr>
      <w:r>
        <w:rPr>
          <w:rFonts w:hint="eastAsia"/>
          <w:szCs w:val="32"/>
        </w:rPr>
        <w:t>（2）以第一作者获得“挑战杯”、中国国际大学生创新大赛、中国研究生创新实践系列大赛省级及以上奖项；</w:t>
      </w:r>
    </w:p>
    <w:p w14:paraId="32E3377B">
      <w:pPr>
        <w:adjustRightInd w:val="0"/>
        <w:snapToGrid w:val="0"/>
        <w:spacing w:line="530" w:lineRule="exact"/>
        <w:ind w:firstLine="640" w:firstLineChars="200"/>
        <w:rPr>
          <w:szCs w:val="32"/>
        </w:rPr>
      </w:pPr>
      <w:r>
        <w:rPr>
          <w:szCs w:val="32"/>
        </w:rPr>
        <w:t>（</w:t>
      </w:r>
      <w:r>
        <w:rPr>
          <w:rFonts w:eastAsia="Times New Roman"/>
          <w:szCs w:val="32"/>
        </w:rPr>
        <w:t>3</w:t>
      </w:r>
      <w:r>
        <w:rPr>
          <w:szCs w:val="32"/>
        </w:rPr>
        <w:t>）艺术作品入选省级及以上展览，参加省级及以上大型演出，在省级及以上平台播映，获得省级及以上赛事奖项。</w:t>
      </w:r>
    </w:p>
    <w:p w14:paraId="51D436DC">
      <w:pPr>
        <w:adjustRightInd w:val="0"/>
        <w:snapToGrid w:val="0"/>
        <w:spacing w:line="530" w:lineRule="exact"/>
        <w:ind w:firstLine="640" w:firstLineChars="200"/>
        <w:rPr>
          <w:szCs w:val="32"/>
        </w:rPr>
      </w:pPr>
      <w:r>
        <w:rPr>
          <w:szCs w:val="32"/>
        </w:rPr>
        <w:t>若无相应成果，硕士学位论文的盲审评阅成绩均须在</w:t>
      </w:r>
      <w:r>
        <w:rPr>
          <w:rFonts w:eastAsia="Times New Roman"/>
          <w:szCs w:val="32"/>
        </w:rPr>
        <w:t>80</w:t>
      </w:r>
      <w:r>
        <w:rPr>
          <w:szCs w:val="32"/>
        </w:rPr>
        <w:t>分及以上。</w:t>
      </w:r>
    </w:p>
    <w:p w14:paraId="55497335">
      <w:pPr>
        <w:adjustRightInd w:val="0"/>
        <w:snapToGrid w:val="0"/>
        <w:spacing w:line="530" w:lineRule="exact"/>
        <w:ind w:firstLine="640" w:firstLineChars="200"/>
        <w:rPr>
          <w:szCs w:val="32"/>
        </w:rPr>
      </w:pPr>
      <w:r>
        <w:rPr>
          <w:rFonts w:eastAsia="Times New Roman"/>
          <w:szCs w:val="32"/>
        </w:rPr>
        <w:t>2</w:t>
      </w:r>
      <w:r>
        <w:rPr>
          <w:szCs w:val="32"/>
        </w:rPr>
        <w:t>．硕士专业学位研究生符合以下五条之一者可申请硕</w:t>
      </w:r>
      <w:r>
        <w:rPr>
          <w:rFonts w:hint="eastAsia"/>
          <w:szCs w:val="32"/>
        </w:rPr>
        <w:t>士学位：</w:t>
      </w:r>
    </w:p>
    <w:p w14:paraId="7DD5978F">
      <w:pPr>
        <w:adjustRightInd w:val="0"/>
        <w:snapToGrid w:val="0"/>
        <w:spacing w:line="530" w:lineRule="exact"/>
        <w:ind w:firstLine="640" w:firstLineChars="200"/>
        <w:rPr>
          <w:szCs w:val="32"/>
        </w:rPr>
      </w:pPr>
      <w:r>
        <w:rPr>
          <w:szCs w:val="32"/>
        </w:rPr>
        <w:t>（1）以第一作者（或导师为第一作者，本人为第二作者）公开发表科研成果（含学术论文、专著、译著、专利等）1项；</w:t>
      </w:r>
    </w:p>
    <w:p w14:paraId="06244AF4">
      <w:pPr>
        <w:adjustRightInd w:val="0"/>
        <w:snapToGrid w:val="0"/>
        <w:spacing w:line="530" w:lineRule="exact"/>
        <w:ind w:firstLine="640" w:firstLineChars="200"/>
        <w:rPr>
          <w:szCs w:val="32"/>
        </w:rPr>
      </w:pPr>
      <w:r>
        <w:rPr>
          <w:szCs w:val="32"/>
        </w:rPr>
        <w:t>（</w:t>
      </w:r>
      <w:r>
        <w:rPr>
          <w:rFonts w:eastAsia="Times New Roman"/>
          <w:szCs w:val="32"/>
        </w:rPr>
        <w:t>2</w:t>
      </w:r>
      <w:r>
        <w:rPr>
          <w:szCs w:val="32"/>
        </w:rPr>
        <w:t>）以第一作者（或导师为第一作者，本人为第二作者）获厅、局级及以上教学成果奖、科研成果奖等</w:t>
      </w:r>
      <w:r>
        <w:rPr>
          <w:rFonts w:eastAsia="Times New Roman"/>
          <w:szCs w:val="32"/>
        </w:rPr>
        <w:t>1</w:t>
      </w:r>
      <w:r>
        <w:rPr>
          <w:szCs w:val="32"/>
        </w:rPr>
        <w:t>项；</w:t>
      </w:r>
    </w:p>
    <w:p w14:paraId="395C2BD0">
      <w:pPr>
        <w:adjustRightInd w:val="0"/>
        <w:snapToGrid w:val="0"/>
        <w:spacing w:line="530" w:lineRule="exact"/>
        <w:ind w:firstLine="640" w:firstLineChars="200"/>
        <w:rPr>
          <w:szCs w:val="32"/>
        </w:rPr>
      </w:pPr>
      <w:r>
        <w:rPr>
          <w:rFonts w:hint="eastAsia"/>
          <w:szCs w:val="32"/>
        </w:rPr>
        <w:t>（3）以第一作者获得“挑战杯”、中国国际大学生创新大赛、中国研究生创新实践系列大赛省级及以上奖项；</w:t>
      </w:r>
    </w:p>
    <w:p w14:paraId="200994BE">
      <w:pPr>
        <w:adjustRightInd w:val="0"/>
        <w:snapToGrid w:val="0"/>
        <w:spacing w:line="530" w:lineRule="exact"/>
        <w:ind w:firstLine="640" w:firstLineChars="200"/>
        <w:rPr>
          <w:szCs w:val="32"/>
        </w:rPr>
      </w:pPr>
      <w:r>
        <w:rPr>
          <w:szCs w:val="32"/>
        </w:rPr>
        <w:t>（</w:t>
      </w:r>
      <w:r>
        <w:rPr>
          <w:rFonts w:eastAsia="Times New Roman"/>
          <w:szCs w:val="32"/>
        </w:rPr>
        <w:t>4</w:t>
      </w:r>
      <w:r>
        <w:rPr>
          <w:szCs w:val="32"/>
        </w:rPr>
        <w:t>）艺术作品入选省级及以上展览，参加省级及以上大型演出，在省级及以上平台播映，获得省级及以上赛事奖项；</w:t>
      </w:r>
    </w:p>
    <w:p w14:paraId="2A9C101F">
      <w:pPr>
        <w:adjustRightInd w:val="0"/>
        <w:snapToGrid w:val="0"/>
        <w:spacing w:line="530" w:lineRule="exact"/>
        <w:ind w:firstLine="640" w:firstLineChars="200"/>
        <w:rPr>
          <w:szCs w:val="32"/>
        </w:rPr>
      </w:pPr>
      <w:r>
        <w:rPr>
          <w:szCs w:val="32"/>
        </w:rPr>
        <w:t>（</w:t>
      </w:r>
      <w:r>
        <w:rPr>
          <w:rFonts w:eastAsia="Times New Roman"/>
          <w:szCs w:val="32"/>
        </w:rPr>
        <w:t>5</w:t>
      </w:r>
      <w:r>
        <w:rPr>
          <w:szCs w:val="32"/>
        </w:rPr>
        <w:t>）提交已通过所在学位点审核的实践调研报告、实践案例、规划设计、产品开发、文学艺术作品等</w:t>
      </w:r>
      <w:r>
        <w:rPr>
          <w:rFonts w:eastAsia="Times New Roman"/>
          <w:szCs w:val="32"/>
        </w:rPr>
        <w:t>1</w:t>
      </w:r>
      <w:r>
        <w:rPr>
          <w:szCs w:val="32"/>
        </w:rPr>
        <w:t>份。</w:t>
      </w:r>
    </w:p>
    <w:p w14:paraId="40233999">
      <w:pPr>
        <w:adjustRightInd w:val="0"/>
        <w:snapToGrid w:val="0"/>
        <w:spacing w:line="530" w:lineRule="exact"/>
        <w:ind w:firstLine="640" w:firstLineChars="200"/>
        <w:rPr>
          <w:szCs w:val="32"/>
        </w:rPr>
      </w:pPr>
      <w:r>
        <w:rPr>
          <w:szCs w:val="32"/>
        </w:rPr>
        <w:t>若无相应成果，硕士学位论文的盲审评阅成绩均须在</w:t>
      </w:r>
      <w:r>
        <w:rPr>
          <w:rFonts w:eastAsia="Times New Roman"/>
          <w:szCs w:val="32"/>
        </w:rPr>
        <w:t>80</w:t>
      </w:r>
      <w:r>
        <w:rPr>
          <w:szCs w:val="32"/>
        </w:rPr>
        <w:t>分及以上。</w:t>
      </w:r>
    </w:p>
    <w:p w14:paraId="22656F3C">
      <w:pPr>
        <w:adjustRightInd w:val="0"/>
        <w:snapToGrid w:val="0"/>
        <w:spacing w:line="530" w:lineRule="exact"/>
        <w:ind w:firstLine="640" w:firstLineChars="200"/>
        <w:rPr>
          <w:szCs w:val="32"/>
        </w:rPr>
      </w:pPr>
      <w:r>
        <w:rPr>
          <w:rFonts w:eastAsia="Times New Roman"/>
          <w:szCs w:val="32"/>
        </w:rPr>
        <w:t>3</w:t>
      </w:r>
      <w:r>
        <w:rPr>
          <w:szCs w:val="32"/>
        </w:rPr>
        <w:t>．同等学力人员申请硕士学位参照全日制学术型硕士研究生科研成果要求执行。</w:t>
      </w:r>
    </w:p>
    <w:p w14:paraId="286923AB">
      <w:pPr>
        <w:adjustRightInd w:val="0"/>
        <w:snapToGrid w:val="0"/>
        <w:spacing w:line="530" w:lineRule="exact"/>
        <w:ind w:firstLine="640" w:firstLineChars="200"/>
        <w:rPr>
          <w:szCs w:val="32"/>
        </w:rPr>
      </w:pPr>
      <w:r>
        <w:rPr>
          <w:rFonts w:eastAsia="Times New Roman"/>
          <w:szCs w:val="32"/>
        </w:rPr>
        <w:t>4</w:t>
      </w:r>
      <w:r>
        <w:rPr>
          <w:szCs w:val="32"/>
        </w:rPr>
        <w:t>．硕士留学生的科研成果要求由各硕士学位授权点参照相同类型硕士生的科研成果要求制定，经学院学位评定分委员会审核通过后报研究生院备案。</w:t>
      </w:r>
    </w:p>
    <w:p w14:paraId="648A2CE9">
      <w:pPr>
        <w:adjustRightInd w:val="0"/>
        <w:snapToGrid w:val="0"/>
        <w:spacing w:line="530" w:lineRule="exact"/>
        <w:ind w:firstLine="640" w:firstLineChars="200"/>
        <w:rPr>
          <w:rFonts w:eastAsia="楷体_GB2312" w:cs="楷体_GB2312"/>
          <w:szCs w:val="32"/>
        </w:rPr>
      </w:pPr>
      <w:r>
        <w:rPr>
          <w:rFonts w:eastAsia="楷体_GB2312" w:cs="楷体_GB2312"/>
          <w:szCs w:val="32"/>
        </w:rPr>
        <w:t>（三）外国语水平要求</w:t>
      </w:r>
    </w:p>
    <w:p w14:paraId="23E9E606">
      <w:pPr>
        <w:adjustRightInd w:val="0"/>
        <w:snapToGrid w:val="0"/>
        <w:spacing w:line="530" w:lineRule="exact"/>
        <w:ind w:firstLine="640" w:firstLineChars="200"/>
        <w:rPr>
          <w:szCs w:val="32"/>
        </w:rPr>
      </w:pPr>
      <w:r>
        <w:rPr>
          <w:szCs w:val="32"/>
        </w:rPr>
        <w:t>硕士研究生须通过培养方案规定的外国语课程，能比较熟练地运用一门外国语阅读本专业的文献资料，并能用外文撰写摘要。</w:t>
      </w:r>
    </w:p>
    <w:p w14:paraId="5F2A45ED">
      <w:pPr>
        <w:adjustRightInd w:val="0"/>
        <w:snapToGrid w:val="0"/>
        <w:spacing w:line="530" w:lineRule="exact"/>
        <w:ind w:firstLine="664" w:firstLineChars="200"/>
        <w:rPr>
          <w:spacing w:val="6"/>
          <w:szCs w:val="32"/>
        </w:rPr>
      </w:pPr>
      <w:r>
        <w:rPr>
          <w:spacing w:val="6"/>
          <w:szCs w:val="32"/>
        </w:rPr>
        <w:t>博士、硕士留学生的中文水平要求按照国家相关文件规</w:t>
      </w:r>
      <w:r>
        <w:rPr>
          <w:rFonts w:hint="eastAsia"/>
          <w:spacing w:val="6"/>
          <w:szCs w:val="32"/>
        </w:rPr>
        <w:t>定执行。</w:t>
      </w:r>
    </w:p>
    <w:p w14:paraId="73C97574">
      <w:pPr>
        <w:adjustRightInd w:val="0"/>
        <w:snapToGrid w:val="0"/>
        <w:spacing w:line="530" w:lineRule="exact"/>
        <w:ind w:firstLine="640" w:firstLineChars="200"/>
        <w:rPr>
          <w:szCs w:val="32"/>
        </w:rPr>
      </w:pPr>
      <w:r>
        <w:rPr>
          <w:rFonts w:eastAsia="黑体" w:cs="黑体"/>
          <w:szCs w:val="32"/>
        </w:rPr>
        <w:t>第八条</w:t>
      </w:r>
      <w:r>
        <w:rPr>
          <w:rFonts w:hint="eastAsia"/>
          <w:szCs w:val="32"/>
        </w:rPr>
        <w:t>　所有成果除有明确规定外均须以“浙江师范大学”为第一署名单位。</w:t>
      </w:r>
    </w:p>
    <w:p w14:paraId="12ABD39C">
      <w:pPr>
        <w:adjustRightInd w:val="0"/>
        <w:snapToGrid w:val="0"/>
        <w:spacing w:line="530" w:lineRule="exact"/>
        <w:ind w:firstLine="640" w:firstLineChars="200"/>
        <w:rPr>
          <w:szCs w:val="32"/>
        </w:rPr>
      </w:pPr>
      <w:r>
        <w:rPr>
          <w:rFonts w:eastAsia="黑体" w:cs="黑体"/>
          <w:szCs w:val="32"/>
        </w:rPr>
        <w:t>第九条</w:t>
      </w:r>
      <w:r>
        <w:rPr>
          <w:rFonts w:hint="eastAsia"/>
          <w:szCs w:val="32"/>
        </w:rPr>
        <w:t>　</w:t>
      </w:r>
      <w:r>
        <w:rPr>
          <w:szCs w:val="32"/>
        </w:rPr>
        <w:t>研究生在完成课程学习和学位论文或实践成果后，可申请相应学位并接受资格审查。资格审查由学院组织专人按照学校有关规定，结合其培养计划进行，并对研究生整个学习期间的政治思想、科研作风、学习成绩和业务能力等进行全面审查。</w:t>
      </w:r>
    </w:p>
    <w:p w14:paraId="64E1D3DF">
      <w:pPr>
        <w:adjustRightInd w:val="0"/>
        <w:snapToGrid w:val="0"/>
        <w:spacing w:line="530" w:lineRule="exact"/>
        <w:ind w:firstLine="640" w:firstLineChars="200"/>
        <w:rPr>
          <w:szCs w:val="32"/>
        </w:rPr>
      </w:pPr>
      <w:r>
        <w:rPr>
          <w:rFonts w:eastAsia="黑体" w:cs="黑体"/>
          <w:szCs w:val="32"/>
        </w:rPr>
        <w:t>第十条</w:t>
      </w:r>
      <w:r>
        <w:rPr>
          <w:rFonts w:hint="eastAsia"/>
          <w:szCs w:val="32"/>
        </w:rPr>
        <w:t>　</w:t>
      </w:r>
      <w:r>
        <w:rPr>
          <w:szCs w:val="32"/>
        </w:rPr>
        <w:t>在论文或实践成果评审、答辩、学院学位评定分委员会及学校学位评定委员会审议表决等任何阶段，申请人未通过者，终止其本次学位申请。学位申请人可提出重新修改论文或实践成果申请，经学院学位评定分委员会批准</w:t>
      </w:r>
      <w:r>
        <w:rPr>
          <w:rFonts w:hint="eastAsia"/>
          <w:szCs w:val="32"/>
        </w:rPr>
        <w:t>，</w:t>
      </w:r>
      <w:r>
        <w:rPr>
          <w:szCs w:val="32"/>
        </w:rPr>
        <w:t>在规定的最长学习年限内再次申请学位。未按规定办理申请重新修改论文或实践成果手续或虽经同意重新修改论文或实践成果但本人在规定时间内未能完成论文或实践成果修改或未再次提出学位申请者，视为自动放弃。</w:t>
      </w:r>
    </w:p>
    <w:p w14:paraId="468A07CD">
      <w:pPr>
        <w:adjustRightInd w:val="0"/>
        <w:snapToGrid w:val="0"/>
        <w:spacing w:before="156" w:beforeLines="50" w:after="156" w:afterLines="50" w:line="530" w:lineRule="exact"/>
        <w:jc w:val="center"/>
        <w:rPr>
          <w:rFonts w:eastAsia="黑体"/>
          <w:szCs w:val="32"/>
        </w:rPr>
      </w:pPr>
      <w:r>
        <w:rPr>
          <w:rFonts w:eastAsia="黑体"/>
          <w:szCs w:val="32"/>
        </w:rPr>
        <w:t>第四章</w:t>
      </w:r>
      <w:r>
        <w:rPr>
          <w:rFonts w:hint="eastAsia" w:eastAsia="黑体"/>
          <w:szCs w:val="32"/>
        </w:rPr>
        <w:t>　</w:t>
      </w:r>
      <w:r>
        <w:rPr>
          <w:rFonts w:eastAsia="黑体"/>
          <w:szCs w:val="32"/>
        </w:rPr>
        <w:t>学位论文或实践成果的基本要求</w:t>
      </w:r>
    </w:p>
    <w:p w14:paraId="385A0BA1">
      <w:pPr>
        <w:adjustRightInd w:val="0"/>
        <w:snapToGrid w:val="0"/>
        <w:spacing w:line="530" w:lineRule="exact"/>
        <w:ind w:firstLine="640" w:firstLineChars="200"/>
        <w:rPr>
          <w:szCs w:val="32"/>
        </w:rPr>
      </w:pPr>
      <w:r>
        <w:rPr>
          <w:rFonts w:eastAsia="黑体" w:cs="黑体"/>
          <w:szCs w:val="32"/>
        </w:rPr>
        <w:t>第十一条</w:t>
      </w:r>
      <w:r>
        <w:rPr>
          <w:rFonts w:hint="eastAsia"/>
          <w:szCs w:val="32"/>
        </w:rPr>
        <w:t>　</w:t>
      </w:r>
      <w:r>
        <w:rPr>
          <w:szCs w:val="32"/>
        </w:rPr>
        <w:t>学位论文可用于申请硕士学术学位、硕士专业学位、博士学术学位、博士专业学位，实践成果可用于申请硕士专业学位、博士专业学位。学位论文或实践成果是进行学位评定的主要依据，应当由学位申请人在攻读学位期间独立完成。通过实践成果申请学位，应包括可展示实体形式和实践成果总结报告书面形式。</w:t>
      </w:r>
    </w:p>
    <w:p w14:paraId="717CF641">
      <w:pPr>
        <w:adjustRightInd w:val="0"/>
        <w:snapToGrid w:val="0"/>
        <w:spacing w:line="530" w:lineRule="exact"/>
        <w:ind w:firstLine="640" w:firstLineChars="200"/>
        <w:rPr>
          <w:szCs w:val="32"/>
        </w:rPr>
      </w:pPr>
      <w:r>
        <w:rPr>
          <w:rFonts w:eastAsia="黑体" w:cs="黑体"/>
          <w:szCs w:val="32"/>
        </w:rPr>
        <w:t>第十二条</w:t>
      </w:r>
      <w:r>
        <w:rPr>
          <w:rFonts w:hint="eastAsia"/>
          <w:szCs w:val="32"/>
        </w:rPr>
        <w:t>　</w:t>
      </w:r>
      <w:r>
        <w:rPr>
          <w:szCs w:val="32"/>
        </w:rPr>
        <w:t>博士学位论文要能够体现申请人在论文选题相关领域具有坚实宽厚的基础理论与系统深入的专门知识，对所研究的课题有创造性贡献；论文具有较强的理论意义或较高的实践价值；资料和数据详实可靠，论证和计算严谨准确，文字通顺，逻辑性强；论文应能表明申请人已具备独立从事科学研究工作或独立担负专门技术工作的能力，达到了博士学位学术水平。博士研究生用于论文研究和撰写学位论文的时间一般不少于</w:t>
      </w:r>
      <w:r>
        <w:rPr>
          <w:rFonts w:eastAsia="Times New Roman"/>
          <w:szCs w:val="32"/>
        </w:rPr>
        <w:t>2</w:t>
      </w:r>
      <w:r>
        <w:rPr>
          <w:szCs w:val="32"/>
        </w:rPr>
        <w:t>年。</w:t>
      </w:r>
    </w:p>
    <w:p w14:paraId="6200027D">
      <w:pPr>
        <w:adjustRightInd w:val="0"/>
        <w:snapToGrid w:val="0"/>
        <w:spacing w:line="530" w:lineRule="exact"/>
        <w:ind w:firstLine="640" w:firstLineChars="200"/>
        <w:rPr>
          <w:szCs w:val="32"/>
        </w:rPr>
      </w:pPr>
      <w:r>
        <w:rPr>
          <w:rFonts w:eastAsia="黑体" w:cs="黑体"/>
          <w:szCs w:val="32"/>
        </w:rPr>
        <w:t>第十三条</w:t>
      </w:r>
      <w:r>
        <w:rPr>
          <w:rFonts w:hint="eastAsia"/>
          <w:szCs w:val="32"/>
        </w:rPr>
        <w:t>　</w:t>
      </w:r>
      <w:r>
        <w:rPr>
          <w:szCs w:val="32"/>
        </w:rPr>
        <w:t>学术学位硕士研究生的学位论文选题应具有一定理论意义或实际应用价值；论文资料和数据可靠，论证严密，计算准确，文字通顺，条理分明，并有对研究课题的新见解，表明申请人已具备从事科学研究或担负专门技术工作的能力，达到硕士学位学术水平。硕士研究生用于论文研究和撰写学位论文的时间一般不少于</w:t>
      </w:r>
      <w:r>
        <w:rPr>
          <w:rFonts w:eastAsia="Times New Roman"/>
          <w:szCs w:val="32"/>
        </w:rPr>
        <w:t>1</w:t>
      </w:r>
      <w:r>
        <w:rPr>
          <w:szCs w:val="32"/>
        </w:rPr>
        <w:t>年。</w:t>
      </w:r>
    </w:p>
    <w:p w14:paraId="356C5E63">
      <w:pPr>
        <w:adjustRightInd w:val="0"/>
        <w:snapToGrid w:val="0"/>
        <w:spacing w:line="530" w:lineRule="exact"/>
        <w:ind w:firstLine="640" w:firstLineChars="200"/>
        <w:rPr>
          <w:szCs w:val="32"/>
        </w:rPr>
      </w:pPr>
      <w:r>
        <w:rPr>
          <w:rFonts w:eastAsia="黑体" w:cs="黑体"/>
          <w:szCs w:val="32"/>
        </w:rPr>
        <w:t>第十四条</w:t>
      </w:r>
      <w:r>
        <w:rPr>
          <w:rFonts w:hint="eastAsia"/>
          <w:szCs w:val="32"/>
        </w:rPr>
        <w:t>　</w:t>
      </w:r>
      <w:r>
        <w:rPr>
          <w:szCs w:val="32"/>
        </w:rPr>
        <w:t>专业学位硕士研究生的学位论文选题须来源于社会实践或工作实际中的现实问题，有明确的实践意义和应用价值。论文须在专题研究、调研报告、案例分析、教学设计、管理方案、规划设计、文学艺术作品（含作品说明）等研究内容的基础上撰写，侧重于对实际问题的阐述分析，提出解决问题的策略和方法。</w:t>
      </w:r>
    </w:p>
    <w:p w14:paraId="196DC1CD">
      <w:pPr>
        <w:adjustRightInd w:val="0"/>
        <w:snapToGrid w:val="0"/>
        <w:spacing w:line="530" w:lineRule="exact"/>
        <w:ind w:firstLine="640" w:firstLineChars="200"/>
        <w:rPr>
          <w:szCs w:val="32"/>
        </w:rPr>
      </w:pPr>
      <w:r>
        <w:rPr>
          <w:rFonts w:eastAsia="黑体" w:cs="黑体"/>
          <w:szCs w:val="32"/>
        </w:rPr>
        <w:t>第十五条</w:t>
      </w:r>
      <w:r>
        <w:rPr>
          <w:rFonts w:hint="eastAsia"/>
          <w:szCs w:val="32"/>
        </w:rPr>
        <w:t>　</w:t>
      </w:r>
      <w:r>
        <w:rPr>
          <w:szCs w:val="32"/>
        </w:rPr>
        <w:t>专业学位研究生可以使用规定的实践成果</w:t>
      </w:r>
      <w:r>
        <w:rPr>
          <w:rFonts w:hint="eastAsia"/>
          <w:szCs w:val="32"/>
        </w:rPr>
        <w:t>申请学位，通过规定的实践成果申请学位，主要流程应包</w:t>
      </w:r>
      <w:r>
        <w:rPr>
          <w:szCs w:val="32"/>
        </w:rPr>
        <w:t>括：实践成果申请学位可行性论证、实践成果实施、实践成果总</w:t>
      </w:r>
      <w:r>
        <w:rPr>
          <w:rFonts w:hint="eastAsia"/>
          <w:szCs w:val="32"/>
        </w:rPr>
        <w:t>结报告撰写、实践成果展示与鉴定或评审、实践成果答辩</w:t>
      </w:r>
      <w:r>
        <w:rPr>
          <w:szCs w:val="32"/>
        </w:rPr>
        <w:t>等，具体由各专业学位类别根据教育部和各专业学位全国教育指导委员会的相关规定制定实施细则，经所在学位评定分委员会论证审议后，报校学位评定委员会审议通过后实施。</w:t>
      </w:r>
    </w:p>
    <w:p w14:paraId="22B0940A">
      <w:pPr>
        <w:adjustRightInd w:val="0"/>
        <w:snapToGrid w:val="0"/>
        <w:spacing w:line="530" w:lineRule="exact"/>
        <w:ind w:firstLine="640" w:firstLineChars="200"/>
        <w:rPr>
          <w:szCs w:val="32"/>
        </w:rPr>
      </w:pPr>
      <w:r>
        <w:rPr>
          <w:rFonts w:eastAsia="黑体" w:cs="黑体"/>
          <w:szCs w:val="32"/>
        </w:rPr>
        <w:t>第十六条</w:t>
      </w:r>
      <w:r>
        <w:rPr>
          <w:rFonts w:hint="eastAsia"/>
          <w:szCs w:val="32"/>
        </w:rPr>
        <w:t>　</w:t>
      </w:r>
      <w:r>
        <w:rPr>
          <w:szCs w:val="32"/>
        </w:rPr>
        <w:t>学位论文或实践成果中期检查和定稿审查</w:t>
      </w:r>
    </w:p>
    <w:p w14:paraId="6B2C10CF">
      <w:pPr>
        <w:adjustRightInd w:val="0"/>
        <w:snapToGrid w:val="0"/>
        <w:spacing w:line="530" w:lineRule="exact"/>
        <w:ind w:firstLine="640" w:firstLineChars="200"/>
        <w:rPr>
          <w:szCs w:val="32"/>
        </w:rPr>
      </w:pPr>
      <w:r>
        <w:rPr>
          <w:szCs w:val="32"/>
        </w:rPr>
        <w:t>在研究生学位论文或实践成果开题后、撰写过程中进行中期检查，检查学位论文或实践成果进展和完成情况。研究生在完成学位论文或实践成果写作后，须经指导教师全面审查通过，签署审阅意见，提交学位点进行形式审查。</w:t>
      </w:r>
    </w:p>
    <w:p w14:paraId="148DB27D">
      <w:pPr>
        <w:adjustRightInd w:val="0"/>
        <w:snapToGrid w:val="0"/>
        <w:spacing w:before="156" w:beforeLines="50" w:after="156" w:afterLines="50" w:line="530" w:lineRule="exact"/>
        <w:jc w:val="center"/>
        <w:rPr>
          <w:rFonts w:eastAsia="黑体"/>
          <w:szCs w:val="32"/>
        </w:rPr>
      </w:pPr>
      <w:r>
        <w:rPr>
          <w:rFonts w:eastAsia="黑体"/>
          <w:szCs w:val="32"/>
        </w:rPr>
        <w:t>第五章</w:t>
      </w:r>
      <w:r>
        <w:rPr>
          <w:rFonts w:hint="eastAsia" w:eastAsia="黑体"/>
          <w:szCs w:val="32"/>
        </w:rPr>
        <w:t>　</w:t>
      </w:r>
      <w:r>
        <w:rPr>
          <w:rFonts w:eastAsia="黑体"/>
          <w:szCs w:val="32"/>
        </w:rPr>
        <w:t>答辩申请</w:t>
      </w:r>
    </w:p>
    <w:p w14:paraId="1B051E6F">
      <w:pPr>
        <w:adjustRightInd w:val="0"/>
        <w:snapToGrid w:val="0"/>
        <w:spacing w:line="530" w:lineRule="exact"/>
        <w:ind w:firstLine="640" w:firstLineChars="200"/>
        <w:rPr>
          <w:szCs w:val="32"/>
        </w:rPr>
      </w:pPr>
      <w:r>
        <w:rPr>
          <w:rFonts w:eastAsia="黑体" w:cs="黑体"/>
          <w:szCs w:val="32"/>
        </w:rPr>
        <w:t>第十七条</w:t>
      </w:r>
      <w:r>
        <w:rPr>
          <w:rFonts w:hint="eastAsia"/>
          <w:szCs w:val="32"/>
        </w:rPr>
        <w:t>　</w:t>
      </w:r>
      <w:r>
        <w:rPr>
          <w:szCs w:val="32"/>
        </w:rPr>
        <w:t>研究生申请学位论文或实践成果答辩应填写《浙江师范大学硕（博）士学位申请书》，连同学位论文或实践成果交导师审阅。导师应对学位论文或实践成果进行认真审阅，如实评价，如认为研究生的学位论文或实践成果水平已达到培养目标要求，并确认其研究成果已达到学校规定的要求，在签署意见后，将申请书等材料送交学位点和所在学院。</w:t>
      </w:r>
    </w:p>
    <w:p w14:paraId="2E6D4491">
      <w:pPr>
        <w:adjustRightInd w:val="0"/>
        <w:snapToGrid w:val="0"/>
        <w:spacing w:line="530" w:lineRule="exact"/>
        <w:ind w:firstLine="640" w:firstLineChars="200"/>
        <w:rPr>
          <w:szCs w:val="32"/>
        </w:rPr>
      </w:pPr>
      <w:r>
        <w:rPr>
          <w:rFonts w:eastAsia="黑体" w:cs="黑体"/>
          <w:szCs w:val="32"/>
        </w:rPr>
        <w:t>第十八条</w:t>
      </w:r>
      <w:r>
        <w:rPr>
          <w:rFonts w:hint="eastAsia"/>
          <w:szCs w:val="32"/>
        </w:rPr>
        <w:t>　</w:t>
      </w:r>
      <w:r>
        <w:rPr>
          <w:szCs w:val="32"/>
        </w:rPr>
        <w:t>学位点和申请人所在学院按有关规定对研究生的课程学习和考试成绩、论文或实践成果水平等进行全面审核，认为达到博士、硕士学位要求时，方可同意答辩申请。博士、硕士学位论文或实践成果均实行预答辩制，预答辩通过后方可提出学位论文或实践成果评审和答辩申请。</w:t>
      </w:r>
    </w:p>
    <w:p w14:paraId="30EC4A04">
      <w:pPr>
        <w:adjustRightInd w:val="0"/>
        <w:snapToGrid w:val="0"/>
        <w:spacing w:line="530" w:lineRule="exact"/>
        <w:ind w:firstLine="640" w:firstLineChars="200"/>
        <w:rPr>
          <w:szCs w:val="32"/>
        </w:rPr>
      </w:pPr>
      <w:r>
        <w:rPr>
          <w:rFonts w:eastAsia="黑体" w:cs="黑体"/>
          <w:szCs w:val="32"/>
        </w:rPr>
        <w:t>第十九条</w:t>
      </w:r>
      <w:r>
        <w:rPr>
          <w:rFonts w:hint="eastAsia"/>
          <w:szCs w:val="32"/>
        </w:rPr>
        <w:t>　</w:t>
      </w:r>
      <w:r>
        <w:rPr>
          <w:szCs w:val="32"/>
        </w:rPr>
        <w:t>学位论文或实践成果预答辩是指在学位论文或实践成果定稿之后，由研究生所在学院组织专家对学位论文或实践成果进行审查，指出学位论文或实践成果存在的问题和不足，提出修改意见，对学位论文或实践成果质量进行把关。</w:t>
      </w:r>
    </w:p>
    <w:p w14:paraId="73E03F09">
      <w:pPr>
        <w:adjustRightInd w:val="0"/>
        <w:snapToGrid w:val="0"/>
        <w:spacing w:line="530" w:lineRule="exact"/>
        <w:ind w:firstLine="640" w:firstLineChars="200"/>
        <w:rPr>
          <w:szCs w:val="32"/>
        </w:rPr>
      </w:pPr>
      <w:r>
        <w:rPr>
          <w:szCs w:val="32"/>
        </w:rPr>
        <w:t>研究生培养学院应根据学位论文或实践成果的内容聘请不少于</w:t>
      </w:r>
      <w:r>
        <w:rPr>
          <w:rFonts w:eastAsia="Times New Roman"/>
          <w:szCs w:val="32"/>
        </w:rPr>
        <w:t>3</w:t>
      </w:r>
      <w:r>
        <w:rPr>
          <w:szCs w:val="32"/>
        </w:rPr>
        <w:t>名校内外相关学科的专家（博士生预答辩的专家一般为博士生指导教师，硕士生预答辩的专家一般为硕士生指导教师）组成预答辩小组，并确定小组负责人和秘书。参加开题及中期检查的专家可以成为预答辩小组成员，但导师不得担任其指导研究生的预答辩小组成员。</w:t>
      </w:r>
    </w:p>
    <w:p w14:paraId="7CDF3653">
      <w:pPr>
        <w:adjustRightInd w:val="0"/>
        <w:snapToGrid w:val="0"/>
        <w:spacing w:line="530" w:lineRule="exact"/>
        <w:ind w:firstLine="640" w:firstLineChars="200"/>
        <w:rPr>
          <w:szCs w:val="32"/>
        </w:rPr>
      </w:pPr>
      <w:r>
        <w:rPr>
          <w:szCs w:val="32"/>
        </w:rPr>
        <w:t>预答辩小组听取学位申请人对论文或实践成果主要内容和创新点的报告，审查申请人取得的研究成果是否达到授予博士、硕士学位的要求、学位论文或实践成果撰写是否规范、成果表述是否恰当、创新点描述是否确切等，指出学位论文或实践成果存在的问题和不足，并提出修改意见，形成预答辩小组结论。通过预答辩的申请人根据预答辩小组的意见，对学位论文或实践成果进行修改和完善，时间不少于两周。修改后的论文或实践成果经指导教师审查同意后，可提出学位论文或实践成果评审和答辩申请。</w:t>
      </w:r>
    </w:p>
    <w:p w14:paraId="1A340A50">
      <w:pPr>
        <w:adjustRightInd w:val="0"/>
        <w:snapToGrid w:val="0"/>
        <w:spacing w:line="530" w:lineRule="exact"/>
        <w:ind w:firstLine="640" w:firstLineChars="200"/>
        <w:rPr>
          <w:szCs w:val="32"/>
        </w:rPr>
      </w:pPr>
      <w:r>
        <w:rPr>
          <w:szCs w:val="32"/>
        </w:rPr>
        <w:t>未通过预答辩的申请人，须根据预答辩小组的意见对学位论文或实践成果进行修改。博士研究生至少</w:t>
      </w:r>
      <w:r>
        <w:rPr>
          <w:rFonts w:eastAsia="Times New Roman"/>
          <w:szCs w:val="32"/>
        </w:rPr>
        <w:t>3</w:t>
      </w:r>
      <w:r>
        <w:rPr>
          <w:szCs w:val="32"/>
        </w:rPr>
        <w:t>个月后方可重新提出预答辩申请，硕士研究生至少</w:t>
      </w:r>
      <w:r>
        <w:rPr>
          <w:rFonts w:eastAsia="Times New Roman"/>
          <w:szCs w:val="32"/>
        </w:rPr>
        <w:t>1</w:t>
      </w:r>
      <w:r>
        <w:rPr>
          <w:szCs w:val="32"/>
        </w:rPr>
        <w:t>个月后方可重新提出预答辩申请。</w:t>
      </w:r>
    </w:p>
    <w:p w14:paraId="597C51CA">
      <w:pPr>
        <w:adjustRightInd w:val="0"/>
        <w:snapToGrid w:val="0"/>
        <w:spacing w:line="530" w:lineRule="exact"/>
        <w:ind w:firstLine="640" w:firstLineChars="200"/>
        <w:rPr>
          <w:szCs w:val="32"/>
        </w:rPr>
      </w:pPr>
      <w:r>
        <w:rPr>
          <w:rFonts w:eastAsia="黑体" w:cs="黑体"/>
          <w:szCs w:val="32"/>
        </w:rPr>
        <w:t>第二十条</w:t>
      </w:r>
      <w:r>
        <w:rPr>
          <w:rFonts w:hint="eastAsia"/>
          <w:szCs w:val="32"/>
        </w:rPr>
        <w:t>　</w:t>
      </w:r>
      <w:r>
        <w:rPr>
          <w:szCs w:val="32"/>
        </w:rPr>
        <w:t>学院学位评定分委员会审核申请人的课程学习成绩、学分、各培养环节和学位论文或实践成果情况，并审查研究生发表的学术论文等成果后签署审核意见。</w:t>
      </w:r>
    </w:p>
    <w:p w14:paraId="115A8B1A">
      <w:pPr>
        <w:adjustRightInd w:val="0"/>
        <w:snapToGrid w:val="0"/>
        <w:spacing w:before="156" w:beforeLines="50" w:after="156" w:afterLines="50" w:line="530" w:lineRule="exact"/>
        <w:jc w:val="center"/>
        <w:rPr>
          <w:rFonts w:eastAsia="黑体"/>
          <w:szCs w:val="32"/>
        </w:rPr>
      </w:pPr>
      <w:r>
        <w:rPr>
          <w:rFonts w:eastAsia="黑体"/>
          <w:szCs w:val="32"/>
        </w:rPr>
        <w:t>第六章</w:t>
      </w:r>
      <w:r>
        <w:rPr>
          <w:rFonts w:hint="eastAsia" w:eastAsia="黑体"/>
          <w:szCs w:val="32"/>
        </w:rPr>
        <w:t>　</w:t>
      </w:r>
      <w:r>
        <w:rPr>
          <w:rFonts w:eastAsia="黑体"/>
          <w:szCs w:val="32"/>
        </w:rPr>
        <w:t>学位论文或实践成果的评阅</w:t>
      </w:r>
    </w:p>
    <w:p w14:paraId="59971A51">
      <w:pPr>
        <w:adjustRightInd w:val="0"/>
        <w:snapToGrid w:val="0"/>
        <w:spacing w:line="530" w:lineRule="exact"/>
        <w:ind w:firstLine="640" w:firstLineChars="200"/>
        <w:rPr>
          <w:szCs w:val="32"/>
        </w:rPr>
      </w:pPr>
      <w:r>
        <w:rPr>
          <w:rFonts w:eastAsia="黑体" w:cs="黑体"/>
          <w:szCs w:val="32"/>
        </w:rPr>
        <w:t>第二十一条</w:t>
      </w:r>
      <w:r>
        <w:rPr>
          <w:rFonts w:hint="eastAsia"/>
          <w:szCs w:val="32"/>
        </w:rPr>
        <w:t>　</w:t>
      </w:r>
      <w:r>
        <w:rPr>
          <w:szCs w:val="32"/>
        </w:rPr>
        <w:t>学位论文或实践成果通过形式审查、预答辩和学术不端行为检测后方可提请论文或实践成果评阅。指导教师不得担任其所指导研究生的学位论文或实践成果评阅人。</w:t>
      </w:r>
    </w:p>
    <w:p w14:paraId="14D98645">
      <w:pPr>
        <w:adjustRightInd w:val="0"/>
        <w:snapToGrid w:val="0"/>
        <w:spacing w:line="530" w:lineRule="exact"/>
        <w:ind w:firstLine="640" w:firstLineChars="200"/>
        <w:rPr>
          <w:szCs w:val="32"/>
        </w:rPr>
      </w:pPr>
      <w:r>
        <w:rPr>
          <w:rFonts w:eastAsia="黑体" w:cs="黑体"/>
          <w:szCs w:val="32"/>
        </w:rPr>
        <w:t>第二十二条</w:t>
      </w:r>
      <w:r>
        <w:rPr>
          <w:rFonts w:hint="eastAsia"/>
          <w:szCs w:val="32"/>
        </w:rPr>
        <w:t>　</w:t>
      </w:r>
      <w:r>
        <w:rPr>
          <w:szCs w:val="32"/>
        </w:rPr>
        <w:t>论文或实践成果评阅实行双盲评审，即对评阅专家隐匿学位论文或实践成果作者及其导师的信息，同时对学位论文或实践成果作者及其导师隐匿评阅专家的信息，以确保评审的客观公正。实践成果可展示实体形式应委托具有相应资质和能力的专家组或专业机构进行鉴定或评审。</w:t>
      </w:r>
    </w:p>
    <w:p w14:paraId="7800CDAB">
      <w:pPr>
        <w:adjustRightInd w:val="0"/>
        <w:snapToGrid w:val="0"/>
        <w:spacing w:line="530" w:lineRule="exact"/>
        <w:ind w:firstLine="640" w:firstLineChars="200"/>
        <w:rPr>
          <w:szCs w:val="32"/>
        </w:rPr>
      </w:pPr>
      <w:r>
        <w:rPr>
          <w:rFonts w:eastAsia="黑体" w:cs="黑体"/>
          <w:szCs w:val="32"/>
        </w:rPr>
        <w:t>第二十三条</w:t>
      </w:r>
      <w:r>
        <w:rPr>
          <w:rFonts w:hint="eastAsia"/>
          <w:szCs w:val="32"/>
        </w:rPr>
        <w:t>　</w:t>
      </w:r>
      <w:r>
        <w:rPr>
          <w:szCs w:val="32"/>
        </w:rPr>
        <w:t>博士学位论文或实践成果评阅人应由</w:t>
      </w:r>
      <w:r>
        <w:rPr>
          <w:rFonts w:eastAsia="Times New Roman"/>
          <w:szCs w:val="32"/>
        </w:rPr>
        <w:t>5</w:t>
      </w:r>
      <w:r>
        <w:rPr>
          <w:szCs w:val="32"/>
        </w:rPr>
        <w:t>位及以上与学位论文或实践成果直接相关的学科领域内具有正高职称的专家担任，其中校外专家不少于</w:t>
      </w:r>
      <w:r>
        <w:rPr>
          <w:rFonts w:eastAsia="Times New Roman"/>
          <w:szCs w:val="32"/>
        </w:rPr>
        <w:t>3</w:t>
      </w:r>
      <w:r>
        <w:rPr>
          <w:szCs w:val="32"/>
        </w:rPr>
        <w:t>人，且具有博士生导师资格的评阅人不少于</w:t>
      </w:r>
      <w:r>
        <w:rPr>
          <w:rFonts w:eastAsia="Times New Roman"/>
          <w:szCs w:val="32"/>
        </w:rPr>
        <w:t>3</w:t>
      </w:r>
      <w:r>
        <w:rPr>
          <w:szCs w:val="32"/>
        </w:rPr>
        <w:t>人。</w:t>
      </w:r>
    </w:p>
    <w:p w14:paraId="51DF19B3">
      <w:pPr>
        <w:adjustRightInd w:val="0"/>
        <w:snapToGrid w:val="0"/>
        <w:spacing w:line="530" w:lineRule="exact"/>
        <w:ind w:firstLine="640" w:firstLineChars="200"/>
        <w:rPr>
          <w:szCs w:val="32"/>
        </w:rPr>
      </w:pPr>
      <w:r>
        <w:rPr>
          <w:rFonts w:eastAsia="黑体" w:cs="黑体"/>
          <w:szCs w:val="32"/>
        </w:rPr>
        <w:t>第二十四条</w:t>
      </w:r>
      <w:r>
        <w:rPr>
          <w:rFonts w:hint="eastAsia"/>
          <w:szCs w:val="32"/>
        </w:rPr>
        <w:t>　</w:t>
      </w:r>
      <w:r>
        <w:rPr>
          <w:szCs w:val="32"/>
        </w:rPr>
        <w:t>硕士学位论文或实践成果评阅人应由</w:t>
      </w:r>
      <w:r>
        <w:rPr>
          <w:rFonts w:eastAsia="Times New Roman"/>
          <w:szCs w:val="32"/>
        </w:rPr>
        <w:t>3</w:t>
      </w:r>
      <w:r>
        <w:rPr>
          <w:szCs w:val="32"/>
        </w:rPr>
        <w:t>位及以上与学位论文或实践成果有关学科领域的具有副高级及以上职称的专家担任，其中至少有</w:t>
      </w:r>
      <w:r>
        <w:rPr>
          <w:rFonts w:eastAsia="Times New Roman"/>
          <w:szCs w:val="32"/>
        </w:rPr>
        <w:t>1</w:t>
      </w:r>
      <w:r>
        <w:rPr>
          <w:szCs w:val="32"/>
        </w:rPr>
        <w:t>位具有硕士研究生指导教师资格的专家和</w:t>
      </w:r>
      <w:r>
        <w:rPr>
          <w:rFonts w:eastAsia="Times New Roman"/>
          <w:szCs w:val="32"/>
        </w:rPr>
        <w:t>1</w:t>
      </w:r>
      <w:r>
        <w:rPr>
          <w:szCs w:val="32"/>
        </w:rPr>
        <w:t>位校外专家。</w:t>
      </w:r>
    </w:p>
    <w:p w14:paraId="76E9B62D">
      <w:pPr>
        <w:adjustRightInd w:val="0"/>
        <w:snapToGrid w:val="0"/>
        <w:spacing w:line="530" w:lineRule="exact"/>
        <w:ind w:firstLine="640" w:firstLineChars="200"/>
        <w:rPr>
          <w:szCs w:val="32"/>
        </w:rPr>
      </w:pPr>
      <w:r>
        <w:rPr>
          <w:rFonts w:eastAsia="黑体" w:cs="黑体"/>
          <w:szCs w:val="32"/>
        </w:rPr>
        <w:t>第二十五条</w:t>
      </w:r>
      <w:r>
        <w:rPr>
          <w:rFonts w:hint="eastAsia"/>
          <w:szCs w:val="32"/>
        </w:rPr>
        <w:t>　</w:t>
      </w:r>
      <w:r>
        <w:rPr>
          <w:szCs w:val="32"/>
        </w:rPr>
        <w:t>学位论文或实践成果评阅人应秉持公正负责的态度，依据评阅意见书所列栏目对学位论文或实践成果撰写详细评语，供学位论文或实践成果答辩委员会和学位评定委员会在答辩及授予学位过程中参考。</w:t>
      </w:r>
    </w:p>
    <w:p w14:paraId="7EFEC77E">
      <w:pPr>
        <w:adjustRightInd w:val="0"/>
        <w:snapToGrid w:val="0"/>
        <w:spacing w:line="530" w:lineRule="exact"/>
        <w:ind w:firstLine="640" w:firstLineChars="200"/>
        <w:rPr>
          <w:szCs w:val="32"/>
        </w:rPr>
      </w:pPr>
      <w:r>
        <w:rPr>
          <w:szCs w:val="32"/>
        </w:rPr>
        <w:t>评阅人对学位论文或实践成果的评阅意见分为四档：</w:t>
      </w:r>
    </w:p>
    <w:p w14:paraId="0F382363">
      <w:pPr>
        <w:adjustRightInd w:val="0"/>
        <w:snapToGrid w:val="0"/>
        <w:spacing w:line="530" w:lineRule="exact"/>
        <w:ind w:firstLine="640" w:firstLineChars="200"/>
        <w:rPr>
          <w:szCs w:val="32"/>
        </w:rPr>
      </w:pPr>
      <w:r>
        <w:rPr>
          <w:rFonts w:eastAsia="Times New Roman"/>
          <w:szCs w:val="32"/>
        </w:rPr>
        <w:t>A</w:t>
      </w:r>
      <w:r>
        <w:rPr>
          <w:szCs w:val="32"/>
        </w:rPr>
        <w:t>．同意答辩（总分</w:t>
      </w:r>
      <w:r>
        <w:rPr>
          <w:rFonts w:hint="eastAsia" w:eastAsia="Times New Roman"/>
          <w:szCs w:val="32"/>
        </w:rPr>
        <w:t>≥</w:t>
      </w:r>
      <w:r>
        <w:rPr>
          <w:rFonts w:eastAsia="Times New Roman"/>
          <w:szCs w:val="32"/>
        </w:rPr>
        <w:t>85</w:t>
      </w:r>
      <w:r>
        <w:rPr>
          <w:szCs w:val="32"/>
        </w:rPr>
        <w:t>分）；</w:t>
      </w:r>
      <w:r>
        <w:rPr>
          <w:rFonts w:eastAsia="Times New Roman"/>
          <w:szCs w:val="32"/>
        </w:rPr>
        <w:t>B</w:t>
      </w:r>
      <w:r>
        <w:rPr>
          <w:szCs w:val="32"/>
        </w:rPr>
        <w:t>．同意修改后答</w:t>
      </w:r>
      <w:r>
        <w:rPr>
          <w:rFonts w:hint="eastAsia"/>
          <w:szCs w:val="32"/>
        </w:rPr>
        <w:t>辩（</w:t>
      </w:r>
      <w:r>
        <w:rPr>
          <w:rFonts w:eastAsia="Times New Roman"/>
          <w:szCs w:val="32"/>
        </w:rPr>
        <w:t>70</w:t>
      </w:r>
      <w:r>
        <w:rPr>
          <w:rFonts w:hint="eastAsia" w:eastAsia="Times New Roman"/>
          <w:szCs w:val="32"/>
        </w:rPr>
        <w:t>≤</w:t>
      </w:r>
      <w:r>
        <w:rPr>
          <w:rFonts w:hint="eastAsia"/>
          <w:szCs w:val="32"/>
        </w:rPr>
        <w:t>总</w:t>
      </w:r>
      <w:r>
        <w:rPr>
          <w:szCs w:val="32"/>
        </w:rPr>
        <w:t>分</w:t>
      </w:r>
      <w:r>
        <w:rPr>
          <w:rFonts w:eastAsia="Times New Roman"/>
          <w:szCs w:val="32"/>
        </w:rPr>
        <w:t>&lt;85</w:t>
      </w:r>
      <w:r>
        <w:rPr>
          <w:szCs w:val="32"/>
        </w:rPr>
        <w:t>）；</w:t>
      </w:r>
      <w:r>
        <w:rPr>
          <w:rFonts w:eastAsia="Times New Roman"/>
          <w:szCs w:val="32"/>
        </w:rPr>
        <w:t>C</w:t>
      </w:r>
      <w:r>
        <w:rPr>
          <w:szCs w:val="32"/>
        </w:rPr>
        <w:t>．修改后重新送审（</w:t>
      </w:r>
      <w:r>
        <w:rPr>
          <w:rFonts w:eastAsia="Times New Roman"/>
          <w:szCs w:val="32"/>
        </w:rPr>
        <w:t>60</w:t>
      </w:r>
      <w:r>
        <w:rPr>
          <w:rFonts w:hint="eastAsia" w:eastAsia="Times New Roman"/>
          <w:szCs w:val="32"/>
        </w:rPr>
        <w:t>≤</w:t>
      </w:r>
      <w:r>
        <w:rPr>
          <w:szCs w:val="32"/>
        </w:rPr>
        <w:t>总分</w:t>
      </w:r>
      <w:r>
        <w:rPr>
          <w:rFonts w:eastAsia="Times New Roman"/>
          <w:szCs w:val="32"/>
        </w:rPr>
        <w:t>&lt;70</w:t>
      </w:r>
      <w:r>
        <w:rPr>
          <w:szCs w:val="32"/>
        </w:rPr>
        <w:t>）；</w:t>
      </w:r>
      <w:r>
        <w:rPr>
          <w:rFonts w:eastAsia="Times New Roman"/>
          <w:szCs w:val="32"/>
        </w:rPr>
        <w:t>D</w:t>
      </w:r>
      <w:r>
        <w:rPr>
          <w:szCs w:val="32"/>
        </w:rPr>
        <w:t>．不同意答辩（总分</w:t>
      </w:r>
      <w:r>
        <w:rPr>
          <w:rFonts w:eastAsia="Times New Roman"/>
          <w:szCs w:val="32"/>
        </w:rPr>
        <w:t>&lt;60</w:t>
      </w:r>
      <w:r>
        <w:rPr>
          <w:szCs w:val="32"/>
        </w:rPr>
        <w:t>）。</w:t>
      </w:r>
    </w:p>
    <w:p w14:paraId="0F785D08">
      <w:pPr>
        <w:adjustRightInd w:val="0"/>
        <w:snapToGrid w:val="0"/>
        <w:spacing w:line="530" w:lineRule="exact"/>
        <w:ind w:firstLine="648" w:firstLineChars="200"/>
        <w:rPr>
          <w:spacing w:val="2"/>
          <w:szCs w:val="32"/>
        </w:rPr>
      </w:pPr>
      <w:r>
        <w:rPr>
          <w:rFonts w:eastAsia="黑体" w:cs="黑体"/>
          <w:spacing w:val="2"/>
          <w:szCs w:val="32"/>
        </w:rPr>
        <w:t>第二十六条</w:t>
      </w:r>
      <w:r>
        <w:rPr>
          <w:rFonts w:hint="eastAsia"/>
          <w:spacing w:val="2"/>
          <w:szCs w:val="32"/>
        </w:rPr>
        <w:t>　博士学位论文或实践成果评阅意见的处理学位论文或实践成果评阅人基本同意答辩但有专家提出“同意修改后答辩”（评阅意见为A或B），学位申请人应对论文或实践成果进行修改，修改结果经指导教师和学位点负责人审核同意后参加答辩。</w:t>
      </w:r>
    </w:p>
    <w:p w14:paraId="1795BC92">
      <w:pPr>
        <w:adjustRightInd w:val="0"/>
        <w:snapToGrid w:val="0"/>
        <w:spacing w:line="530" w:lineRule="exact"/>
        <w:ind w:firstLine="640" w:firstLineChars="200"/>
        <w:rPr>
          <w:szCs w:val="32"/>
        </w:rPr>
      </w:pPr>
      <w:r>
        <w:rPr>
          <w:rFonts w:hint="eastAsia"/>
          <w:szCs w:val="32"/>
        </w:rPr>
        <w:t>若只有2位及以下评阅人提出“修改后重新送审”而其它专家基本同意答辩（评阅意见仅有1C或2C，其它均为A或B），申请人应根据评阅专家的意见对其学位论文或实践成果作认真修改，修改后学位论文或实践成果经导师和学位点同意后，重新送原评阅专家进行评阅。如原评阅专家同意答辩，可进入答辩程序，如原评阅专家仍有“不同意参加答辩”或仍提出“修改后重新送审”，终止本次答辩程序。</w:t>
      </w:r>
    </w:p>
    <w:p w14:paraId="666FFD83">
      <w:pPr>
        <w:adjustRightInd w:val="0"/>
        <w:snapToGrid w:val="0"/>
        <w:spacing w:line="530" w:lineRule="exact"/>
        <w:ind w:firstLine="632" w:firstLineChars="200"/>
        <w:rPr>
          <w:spacing w:val="-2"/>
          <w:szCs w:val="32"/>
        </w:rPr>
      </w:pPr>
      <w:r>
        <w:rPr>
          <w:rFonts w:hint="eastAsia"/>
          <w:spacing w:val="-2"/>
          <w:szCs w:val="32"/>
        </w:rPr>
        <w:t>若仅有1位评阅人提出“不同意参加答辩”或虽有3位评阅人提出“修改后重新送审”但其它评阅人基本同意答辩（评阅意见仅有1D或3C，其它均为A或B），学位申请人应对论文或实践成果进行修改，修改时间一般不少于3个月，修改后学位论文或实践成果经导师和学院同意后，重新送原评阅专家进行评阅。如原评阅专家同意答辩，可进入答辩程序，如原评阅专家仍有“不同意参加答辩”或仍提出“修改后重新送审”，则终止本次答辩程序。</w:t>
      </w:r>
    </w:p>
    <w:p w14:paraId="715D6793">
      <w:pPr>
        <w:adjustRightInd w:val="0"/>
        <w:snapToGrid w:val="0"/>
        <w:spacing w:line="530" w:lineRule="exact"/>
        <w:ind w:firstLine="640" w:firstLineChars="200"/>
        <w:rPr>
          <w:szCs w:val="32"/>
        </w:rPr>
      </w:pPr>
      <w:r>
        <w:rPr>
          <w:rFonts w:hint="eastAsia"/>
          <w:szCs w:val="32"/>
        </w:rPr>
        <w:t>若有2位评阅人提出“不同意参加答辩”或虽仅有1人及以下评阅人提出“不同意参加答辩”，但有2位及以上专家提出“修改后重新送审”（评阅意见有2D或1D2C及以下或3C及以下），终止本次答辩程序。</w:t>
      </w:r>
    </w:p>
    <w:p w14:paraId="275B5C34">
      <w:pPr>
        <w:adjustRightInd w:val="0"/>
        <w:snapToGrid w:val="0"/>
        <w:spacing w:line="530" w:lineRule="exact"/>
        <w:ind w:firstLine="640" w:firstLineChars="200"/>
        <w:rPr>
          <w:szCs w:val="32"/>
        </w:rPr>
      </w:pPr>
      <w:r>
        <w:rPr>
          <w:rFonts w:hint="eastAsia"/>
          <w:szCs w:val="32"/>
        </w:rPr>
        <w:t>答辩程序终止后，申请人须根据评阅专家意见对其学位论文或实践成果进行实质性修改，按程序重新送审进行评阅。</w:t>
      </w:r>
    </w:p>
    <w:p w14:paraId="76ECFCA5">
      <w:pPr>
        <w:adjustRightInd w:val="0"/>
        <w:snapToGrid w:val="0"/>
        <w:spacing w:line="530" w:lineRule="exact"/>
        <w:ind w:firstLine="640" w:firstLineChars="200"/>
        <w:rPr>
          <w:szCs w:val="32"/>
        </w:rPr>
      </w:pPr>
      <w:r>
        <w:rPr>
          <w:rFonts w:eastAsia="黑体" w:cs="黑体"/>
          <w:szCs w:val="32"/>
        </w:rPr>
        <w:t>第二十七条</w:t>
      </w:r>
      <w:r>
        <w:rPr>
          <w:rFonts w:hint="eastAsia"/>
          <w:szCs w:val="32"/>
        </w:rPr>
        <w:t>　硕士学位论文或实践成果评阅意见的处理硕士学位论文或实践成果评阅人均同意答辩但有专家提出“同意修改后答辩”（评阅意见为A或B），学位申请人应对论文或实践成果进行修改，修改结果经指导教师和学位点负责人审核同意后参加答辩。</w:t>
      </w:r>
    </w:p>
    <w:p w14:paraId="7CA54A43">
      <w:pPr>
        <w:adjustRightInd w:val="0"/>
        <w:snapToGrid w:val="0"/>
        <w:spacing w:line="530" w:lineRule="exact"/>
        <w:ind w:firstLine="640" w:firstLineChars="200"/>
        <w:rPr>
          <w:szCs w:val="32"/>
        </w:rPr>
      </w:pPr>
      <w:r>
        <w:rPr>
          <w:rFonts w:hint="eastAsia"/>
          <w:szCs w:val="32"/>
        </w:rPr>
        <w:t>若仅有1位评阅人提出“修改后重新送审”（评阅意见仅有1C，其它均为A或B），申请人应根据评阅专家的意见对其学位论文或实践成果作认真修改，修改后学位论文或实践成果经导师和学位点同意后，重新送原评阅专家进行评阅。如原评阅专家同意答辩，可进入答辩程序，如仍不同意答辩的，终止本次答辩程序。</w:t>
      </w:r>
    </w:p>
    <w:p w14:paraId="6C1EE426">
      <w:pPr>
        <w:adjustRightInd w:val="0"/>
        <w:snapToGrid w:val="0"/>
        <w:spacing w:line="530" w:lineRule="exact"/>
        <w:ind w:firstLine="640" w:firstLineChars="200"/>
        <w:rPr>
          <w:szCs w:val="32"/>
        </w:rPr>
      </w:pPr>
      <w:r>
        <w:rPr>
          <w:rFonts w:hint="eastAsia"/>
          <w:szCs w:val="32"/>
        </w:rPr>
        <w:t>若仅有1位评阅人提出“不同意参加答辩”（评阅意见仅有1D，其它均为A或B），学位申请人应对论文或实践成果进行修改，修改时间一般不少于3个月，修改后学位论文或实践成果经导师和学院同意后，重新送原评阅专家进行评阅。如原评阅专家同意答辩，可进入答辩程序，如仍不同意答辩的，终止本次答辩程序。</w:t>
      </w:r>
    </w:p>
    <w:p w14:paraId="782370B9">
      <w:pPr>
        <w:adjustRightInd w:val="0"/>
        <w:snapToGrid w:val="0"/>
        <w:spacing w:line="530" w:lineRule="exact"/>
        <w:ind w:firstLine="640" w:firstLineChars="200"/>
        <w:rPr>
          <w:szCs w:val="32"/>
        </w:rPr>
      </w:pPr>
      <w:r>
        <w:rPr>
          <w:rFonts w:hint="eastAsia"/>
          <w:szCs w:val="32"/>
        </w:rPr>
        <w:t>若有2位评阅人提出“修改后重新送审”或“不同意参加答辩”（评阅意见有2个及以上的C或D），终止本次答辩程序。</w:t>
      </w:r>
    </w:p>
    <w:p w14:paraId="02A87135">
      <w:pPr>
        <w:adjustRightInd w:val="0"/>
        <w:snapToGrid w:val="0"/>
        <w:spacing w:line="530" w:lineRule="exact"/>
        <w:ind w:firstLine="640" w:firstLineChars="200"/>
        <w:rPr>
          <w:szCs w:val="32"/>
        </w:rPr>
      </w:pPr>
      <w:r>
        <w:rPr>
          <w:rFonts w:hint="eastAsia"/>
          <w:szCs w:val="32"/>
        </w:rPr>
        <w:t>硕士学位论文或实践成果答辩程序终止后，申请人须根据评阅专家意见对其学位论文或实践成果进行实质性修改，按程序重新送审进行评阅。</w:t>
      </w:r>
    </w:p>
    <w:p w14:paraId="40D6B9D1">
      <w:pPr>
        <w:adjustRightInd w:val="0"/>
        <w:snapToGrid w:val="0"/>
        <w:spacing w:line="530" w:lineRule="exact"/>
        <w:ind w:firstLine="640" w:firstLineChars="200"/>
        <w:rPr>
          <w:szCs w:val="32"/>
        </w:rPr>
      </w:pPr>
      <w:r>
        <w:rPr>
          <w:rFonts w:eastAsia="黑体" w:cs="黑体"/>
          <w:szCs w:val="32"/>
        </w:rPr>
        <w:t>第二十八条</w:t>
      </w:r>
      <w:r>
        <w:rPr>
          <w:rFonts w:hint="eastAsia"/>
          <w:szCs w:val="32"/>
        </w:rPr>
        <w:t>　</w:t>
      </w:r>
      <w:r>
        <w:rPr>
          <w:szCs w:val="32"/>
        </w:rPr>
        <w:t>学位申请人可以提出盲审过程中需要回避的专家</w:t>
      </w:r>
      <w:r>
        <w:rPr>
          <w:rFonts w:eastAsia="Times New Roman"/>
          <w:szCs w:val="32"/>
        </w:rPr>
        <w:t>1</w:t>
      </w:r>
      <w:r>
        <w:rPr>
          <w:szCs w:val="32"/>
        </w:rPr>
        <w:t>名。</w:t>
      </w:r>
    </w:p>
    <w:p w14:paraId="08A368A3">
      <w:pPr>
        <w:adjustRightInd w:val="0"/>
        <w:snapToGrid w:val="0"/>
        <w:spacing w:line="530" w:lineRule="exact"/>
        <w:ind w:firstLine="640" w:firstLineChars="200"/>
        <w:rPr>
          <w:szCs w:val="32"/>
        </w:rPr>
      </w:pPr>
      <w:r>
        <w:rPr>
          <w:rFonts w:eastAsia="黑体" w:cs="黑体"/>
          <w:szCs w:val="32"/>
        </w:rPr>
        <w:t>第二十九条</w:t>
      </w:r>
      <w:r>
        <w:rPr>
          <w:rFonts w:hint="eastAsia"/>
          <w:szCs w:val="32"/>
        </w:rPr>
        <w:t>　</w:t>
      </w:r>
      <w:r>
        <w:rPr>
          <w:szCs w:val="32"/>
        </w:rPr>
        <w:t>若评阅专家明确提出修改建议的，申请人应根据评阅专家意见进行修改，并提供详细修改情况说明；如不修改，则应有充分的事实根据，并提供有关的详细说明材料。说明材料均须经申请人本人和导师签字后提交学位论文或实践成果答辩委员会审议。</w:t>
      </w:r>
    </w:p>
    <w:p w14:paraId="7FF1E34B">
      <w:pPr>
        <w:adjustRightInd w:val="0"/>
        <w:snapToGrid w:val="0"/>
        <w:spacing w:line="530" w:lineRule="exact"/>
        <w:ind w:firstLine="640" w:firstLineChars="200"/>
        <w:rPr>
          <w:szCs w:val="32"/>
        </w:rPr>
      </w:pPr>
      <w:r>
        <w:rPr>
          <w:rFonts w:eastAsia="黑体" w:cs="黑体"/>
          <w:szCs w:val="32"/>
        </w:rPr>
        <w:t>第三十条</w:t>
      </w:r>
      <w:r>
        <w:rPr>
          <w:rFonts w:hint="eastAsia"/>
          <w:szCs w:val="32"/>
        </w:rPr>
        <w:t>　</w:t>
      </w:r>
      <w:r>
        <w:rPr>
          <w:szCs w:val="32"/>
        </w:rPr>
        <w:t>学位申请人如对专家评阅意见存在异议，且硕士学位论文或实践成果评阅意见为</w:t>
      </w:r>
      <w:r>
        <w:rPr>
          <w:rFonts w:eastAsia="Times New Roman"/>
          <w:szCs w:val="32"/>
        </w:rPr>
        <w:t>2A1C</w:t>
      </w:r>
      <w:r>
        <w:rPr>
          <w:szCs w:val="32"/>
        </w:rPr>
        <w:t>或</w:t>
      </w:r>
      <w:r>
        <w:rPr>
          <w:rFonts w:eastAsia="Times New Roman"/>
          <w:szCs w:val="32"/>
        </w:rPr>
        <w:t>2A1D</w:t>
      </w:r>
      <w:r>
        <w:rPr>
          <w:szCs w:val="32"/>
        </w:rPr>
        <w:t>、博士学位论文或实践成果评阅意见至少</w:t>
      </w:r>
      <w:r>
        <w:rPr>
          <w:rFonts w:eastAsia="Times New Roman"/>
          <w:szCs w:val="32"/>
        </w:rPr>
        <w:t>3A</w:t>
      </w:r>
      <w:r>
        <w:rPr>
          <w:szCs w:val="32"/>
        </w:rPr>
        <w:t>而仅有</w:t>
      </w:r>
      <w:r>
        <w:rPr>
          <w:rFonts w:eastAsia="Times New Roman"/>
          <w:szCs w:val="32"/>
        </w:rPr>
        <w:t>1C</w:t>
      </w:r>
      <w:r>
        <w:rPr>
          <w:szCs w:val="32"/>
        </w:rPr>
        <w:t>或</w:t>
      </w:r>
      <w:r>
        <w:rPr>
          <w:rFonts w:eastAsia="Times New Roman"/>
          <w:szCs w:val="32"/>
        </w:rPr>
        <w:t>1D</w:t>
      </w:r>
      <w:r>
        <w:rPr>
          <w:szCs w:val="32"/>
        </w:rPr>
        <w:t>，经指导教师和学位点同意后可向研究生管理部门提出一次复审申请，复审后的结果作为学位申请人的最终评阅意见。</w:t>
      </w:r>
    </w:p>
    <w:p w14:paraId="7DA9A948">
      <w:pPr>
        <w:adjustRightInd w:val="0"/>
        <w:snapToGrid w:val="0"/>
        <w:spacing w:line="530" w:lineRule="exact"/>
        <w:ind w:firstLine="640" w:firstLineChars="200"/>
        <w:rPr>
          <w:szCs w:val="32"/>
        </w:rPr>
      </w:pPr>
      <w:r>
        <w:rPr>
          <w:szCs w:val="32"/>
        </w:rPr>
        <w:t>对原专家评审意见有异议而提出更换专家申请时，学位申请人必须提出更换评审专家的充分理由，填写《浙江师范大学学位论文或实践成果复评申请表》，经导师、学位点和学院审核同意后交研究生管理部门。研究生管理部门组织</w:t>
      </w:r>
      <w:r>
        <w:rPr>
          <w:rFonts w:eastAsia="Times New Roman"/>
          <w:szCs w:val="32"/>
        </w:rPr>
        <w:t>3</w:t>
      </w:r>
      <w:r>
        <w:rPr>
          <w:szCs w:val="32"/>
        </w:rPr>
        <w:t>名本学科专家进行评议，根据专家评议结果决定是否重新送审或更换专家复审。更换评阅专家须经</w:t>
      </w:r>
      <w:r>
        <w:rPr>
          <w:rFonts w:eastAsia="Times New Roman"/>
          <w:szCs w:val="32"/>
        </w:rPr>
        <w:t>3</w:t>
      </w:r>
      <w:r>
        <w:rPr>
          <w:szCs w:val="32"/>
        </w:rPr>
        <w:t>位评议专家一致同意。</w:t>
      </w:r>
    </w:p>
    <w:p w14:paraId="70D024DE">
      <w:pPr>
        <w:adjustRightInd w:val="0"/>
        <w:snapToGrid w:val="0"/>
        <w:spacing w:line="530" w:lineRule="exact"/>
        <w:ind w:firstLine="640" w:firstLineChars="200"/>
        <w:rPr>
          <w:szCs w:val="32"/>
        </w:rPr>
      </w:pPr>
      <w:r>
        <w:rPr>
          <w:rFonts w:hint="eastAsia"/>
          <w:szCs w:val="32"/>
        </w:rPr>
        <w:t>若仅有1位评阅人提出“不同意参加答辩”（评阅意见仅有1D，其它均为A或B），由研究生院再送两位评阅专家进行评阅。如两位评阅专家均为“同意答辩”或“同意修改后答辩”（均为A或B），可进入答辩程序，取两位专家的最低分替代第一次评阅为D的成绩。如两位评阅专家中只要有一位评阅意见为“修改后重新送审”或“不同意参加答辩”（有一个C或D），视为评阅不通过，终止本次答辩程序。</w:t>
      </w:r>
    </w:p>
    <w:p w14:paraId="7C234045">
      <w:pPr>
        <w:adjustRightInd w:val="0"/>
        <w:snapToGrid w:val="0"/>
        <w:spacing w:line="530" w:lineRule="exact"/>
        <w:ind w:firstLine="640" w:firstLineChars="200"/>
        <w:rPr>
          <w:szCs w:val="32"/>
        </w:rPr>
      </w:pPr>
      <w:r>
        <w:rPr>
          <w:rFonts w:eastAsia="黑体" w:cs="黑体"/>
          <w:szCs w:val="32"/>
        </w:rPr>
        <w:t>第三十一条</w:t>
      </w:r>
      <w:r>
        <w:rPr>
          <w:rFonts w:hint="eastAsia"/>
          <w:szCs w:val="32"/>
        </w:rPr>
        <w:t>　</w:t>
      </w:r>
      <w:r>
        <w:rPr>
          <w:szCs w:val="32"/>
        </w:rPr>
        <w:t>参与双盲隐名评阅的工作人员须严格遵守隐名评阅原则，不得泄露任何评阅专家或学位申请人及其</w:t>
      </w:r>
      <w:r>
        <w:rPr>
          <w:rFonts w:hint="eastAsia"/>
          <w:szCs w:val="32"/>
        </w:rPr>
        <w:t>导师信息，以保证隐名评阅的严肃性和公正性。如有违规的，</w:t>
      </w:r>
    </w:p>
    <w:p w14:paraId="6F659F5C">
      <w:pPr>
        <w:adjustRightInd w:val="0"/>
        <w:snapToGrid w:val="0"/>
        <w:spacing w:line="530" w:lineRule="exact"/>
        <w:ind w:firstLine="640" w:firstLineChars="200"/>
        <w:rPr>
          <w:szCs w:val="32"/>
        </w:rPr>
      </w:pPr>
      <w:r>
        <w:rPr>
          <w:szCs w:val="32"/>
        </w:rPr>
        <w:t>学校将依照相关规定给予相应处理。</w:t>
      </w:r>
    </w:p>
    <w:p w14:paraId="289F75D9">
      <w:pPr>
        <w:adjustRightInd w:val="0"/>
        <w:snapToGrid w:val="0"/>
        <w:spacing w:line="530" w:lineRule="exact"/>
        <w:ind w:firstLine="640" w:firstLineChars="200"/>
        <w:rPr>
          <w:szCs w:val="32"/>
        </w:rPr>
      </w:pPr>
      <w:r>
        <w:rPr>
          <w:rFonts w:eastAsia="黑体" w:cs="黑体"/>
          <w:szCs w:val="32"/>
        </w:rPr>
        <w:t>第三十二条</w:t>
      </w:r>
      <w:r>
        <w:rPr>
          <w:rFonts w:hint="eastAsia"/>
          <w:szCs w:val="32"/>
        </w:rPr>
        <w:t>　</w:t>
      </w:r>
      <w:r>
        <w:rPr>
          <w:szCs w:val="32"/>
        </w:rPr>
        <w:t>对需保密的学位论文或实践成果，按照学校保密学位论文或实践成果的有关规定进行评阅。</w:t>
      </w:r>
    </w:p>
    <w:p w14:paraId="0878CF31">
      <w:pPr>
        <w:adjustRightInd w:val="0"/>
        <w:snapToGrid w:val="0"/>
        <w:spacing w:line="530" w:lineRule="exact"/>
        <w:ind w:firstLine="640" w:firstLineChars="200"/>
        <w:rPr>
          <w:szCs w:val="32"/>
        </w:rPr>
      </w:pPr>
      <w:r>
        <w:rPr>
          <w:rFonts w:eastAsia="黑体" w:cs="黑体"/>
          <w:szCs w:val="32"/>
        </w:rPr>
        <w:t>第三十三条</w:t>
      </w:r>
      <w:r>
        <w:rPr>
          <w:rFonts w:hint="eastAsia"/>
          <w:szCs w:val="32"/>
        </w:rPr>
        <w:t>　</w:t>
      </w:r>
      <w:r>
        <w:rPr>
          <w:szCs w:val="32"/>
        </w:rPr>
        <w:t>若有人举证或评阅人提出论文或实践成果有抄袭、造假等违反学术道德行为，研究生管理部门将论文或实践成果交专家鉴定，确定有抄袭、造假等事实的，取消答辩资格，本次学位申请无效。</w:t>
      </w:r>
    </w:p>
    <w:p w14:paraId="1DB1379C">
      <w:pPr>
        <w:adjustRightInd w:val="0"/>
        <w:snapToGrid w:val="0"/>
        <w:spacing w:before="156" w:beforeLines="50" w:after="156" w:afterLines="50" w:line="530" w:lineRule="exact"/>
        <w:jc w:val="center"/>
        <w:rPr>
          <w:rFonts w:eastAsia="黑体"/>
          <w:szCs w:val="32"/>
        </w:rPr>
      </w:pPr>
      <w:r>
        <w:rPr>
          <w:rFonts w:eastAsia="黑体"/>
          <w:szCs w:val="32"/>
        </w:rPr>
        <w:t>第七章</w:t>
      </w:r>
      <w:r>
        <w:rPr>
          <w:rFonts w:hint="eastAsia" w:eastAsia="黑体"/>
          <w:szCs w:val="32"/>
        </w:rPr>
        <w:t>　</w:t>
      </w:r>
      <w:r>
        <w:rPr>
          <w:rFonts w:eastAsia="黑体"/>
          <w:szCs w:val="32"/>
        </w:rPr>
        <w:t>学位论文或实践成果的答辩</w:t>
      </w:r>
    </w:p>
    <w:p w14:paraId="32AF26FA">
      <w:pPr>
        <w:adjustRightInd w:val="0"/>
        <w:snapToGrid w:val="0"/>
        <w:spacing w:line="530" w:lineRule="exact"/>
        <w:ind w:firstLine="640" w:firstLineChars="200"/>
        <w:rPr>
          <w:szCs w:val="32"/>
        </w:rPr>
      </w:pPr>
      <w:r>
        <w:rPr>
          <w:rFonts w:eastAsia="黑体" w:cs="黑体"/>
          <w:szCs w:val="32"/>
        </w:rPr>
        <w:t>第三十四条</w:t>
      </w:r>
      <w:r>
        <w:rPr>
          <w:rFonts w:hint="eastAsia"/>
          <w:szCs w:val="32"/>
        </w:rPr>
        <w:t>　</w:t>
      </w:r>
      <w:r>
        <w:rPr>
          <w:szCs w:val="32"/>
        </w:rPr>
        <w:t>学位论文或实践成果评阅通过后，申请人方可参加答辩。</w:t>
      </w:r>
    </w:p>
    <w:p w14:paraId="04770D5B">
      <w:pPr>
        <w:adjustRightInd w:val="0"/>
        <w:snapToGrid w:val="0"/>
        <w:spacing w:line="530" w:lineRule="exact"/>
        <w:ind w:firstLine="640" w:firstLineChars="200"/>
        <w:rPr>
          <w:szCs w:val="32"/>
        </w:rPr>
      </w:pPr>
      <w:r>
        <w:rPr>
          <w:rFonts w:eastAsia="黑体" w:cs="黑体"/>
          <w:szCs w:val="32"/>
        </w:rPr>
        <w:t>第三十五条</w:t>
      </w:r>
      <w:r>
        <w:rPr>
          <w:rFonts w:hint="eastAsia"/>
          <w:szCs w:val="32"/>
        </w:rPr>
        <w:t>　</w:t>
      </w:r>
      <w:r>
        <w:rPr>
          <w:szCs w:val="32"/>
        </w:rPr>
        <w:t>博士学位答辩委员会组成人员应当不少于五人，其中校外专家应当不少于二人，一般为博士生指导教师。申请人指导教师可列席答辩会，但不作为答辩委员会成员。</w:t>
      </w:r>
    </w:p>
    <w:p w14:paraId="664808F0">
      <w:pPr>
        <w:adjustRightInd w:val="0"/>
        <w:snapToGrid w:val="0"/>
        <w:spacing w:line="530" w:lineRule="exact"/>
        <w:ind w:firstLine="640" w:firstLineChars="200"/>
        <w:rPr>
          <w:szCs w:val="32"/>
        </w:rPr>
      </w:pPr>
      <w:r>
        <w:rPr>
          <w:szCs w:val="32"/>
        </w:rPr>
        <w:t>硕士学位答辩委员会组成人员应当不少于三人，一般为硕士生指导教师。答辩委员会主席应由具有正高级职称的专家担任，一般应具有硕士研究生指导教师资格。申请人指导教师可列席答辩会，但不作为答辩委员会成员。</w:t>
      </w:r>
    </w:p>
    <w:p w14:paraId="748BD7D2">
      <w:pPr>
        <w:adjustRightInd w:val="0"/>
        <w:snapToGrid w:val="0"/>
        <w:spacing w:line="530" w:lineRule="exact"/>
        <w:ind w:firstLine="640" w:firstLineChars="200"/>
        <w:rPr>
          <w:szCs w:val="32"/>
        </w:rPr>
      </w:pPr>
      <w:r>
        <w:rPr>
          <w:rFonts w:eastAsia="黑体" w:cs="黑体"/>
          <w:szCs w:val="32"/>
        </w:rPr>
        <w:t>第三十六条</w:t>
      </w:r>
      <w:r>
        <w:rPr>
          <w:rFonts w:hint="eastAsia"/>
          <w:szCs w:val="32"/>
        </w:rPr>
        <w:t>　</w:t>
      </w:r>
      <w:r>
        <w:rPr>
          <w:szCs w:val="32"/>
        </w:rPr>
        <w:t>答辩委员会对学位论文或实践成果的水平以及答辩情况等进行综合评价，以投票方式表决。获全体委员三分之二以上同意，视为答辩通过，方可作出建议授予博士、硕士学位的决议，并经答辩委员会主席签字后生效。</w:t>
      </w:r>
    </w:p>
    <w:p w14:paraId="33E37E10">
      <w:pPr>
        <w:adjustRightInd w:val="0"/>
        <w:snapToGrid w:val="0"/>
        <w:spacing w:line="530" w:lineRule="exact"/>
        <w:ind w:firstLine="640" w:firstLineChars="200"/>
        <w:rPr>
          <w:szCs w:val="32"/>
        </w:rPr>
      </w:pPr>
      <w:r>
        <w:rPr>
          <w:rFonts w:eastAsia="黑体" w:cs="黑体"/>
          <w:szCs w:val="32"/>
        </w:rPr>
        <w:t>第三十七条</w:t>
      </w:r>
      <w:r>
        <w:rPr>
          <w:rFonts w:hint="eastAsia"/>
          <w:szCs w:val="32"/>
        </w:rPr>
        <w:t>　</w:t>
      </w:r>
      <w:r>
        <w:rPr>
          <w:szCs w:val="32"/>
        </w:rPr>
        <w:t>答辩委员会设答辩秘书</w:t>
      </w:r>
      <w:r>
        <w:rPr>
          <w:rFonts w:eastAsia="Times New Roman"/>
          <w:szCs w:val="32"/>
        </w:rPr>
        <w:t>1</w:t>
      </w:r>
      <w:r>
        <w:rPr>
          <w:szCs w:val="32"/>
        </w:rPr>
        <w:t>人，答辩秘书协助答辩委员会主席开展工作，协助办理答辩有关事宜，参加答辩工作全过程，并对答辩过程中委员的提问、答辩人的回答及答辩委员会决议等情况作详细记录。硕士学位答辩秘书应由具有硕士学位或中级及以上职称的人员担任；博士学位答辩委员会秘书应由具有博士学位或副高及以上职称的人员担任。答辩秘书没有表决权。</w:t>
      </w:r>
    </w:p>
    <w:p w14:paraId="3967FF82">
      <w:pPr>
        <w:adjustRightInd w:val="0"/>
        <w:snapToGrid w:val="0"/>
        <w:spacing w:line="530" w:lineRule="exact"/>
        <w:ind w:firstLine="640" w:firstLineChars="200"/>
        <w:rPr>
          <w:szCs w:val="32"/>
        </w:rPr>
      </w:pPr>
      <w:r>
        <w:rPr>
          <w:rFonts w:eastAsia="黑体" w:cs="黑体"/>
          <w:szCs w:val="32"/>
        </w:rPr>
        <w:t>第三十八条</w:t>
      </w:r>
      <w:r>
        <w:rPr>
          <w:rFonts w:hint="eastAsia"/>
          <w:szCs w:val="32"/>
        </w:rPr>
        <w:t>　</w:t>
      </w:r>
      <w:r>
        <w:rPr>
          <w:szCs w:val="32"/>
        </w:rPr>
        <w:t>学位论文或实践成果应当在答辩前送答辩委员会组成人员审阅。答辩委员会委员在答辩前须认真审阅论文或实践成果，答辩时进行提问和参加投票表决。</w:t>
      </w:r>
    </w:p>
    <w:p w14:paraId="65C1F3F1">
      <w:pPr>
        <w:adjustRightInd w:val="0"/>
        <w:snapToGrid w:val="0"/>
        <w:spacing w:line="530" w:lineRule="exact"/>
        <w:ind w:firstLine="640" w:firstLineChars="200"/>
        <w:rPr>
          <w:szCs w:val="32"/>
        </w:rPr>
      </w:pPr>
      <w:r>
        <w:rPr>
          <w:rFonts w:eastAsia="黑体" w:cs="黑体"/>
          <w:szCs w:val="32"/>
        </w:rPr>
        <w:t>第三十九条</w:t>
      </w:r>
      <w:r>
        <w:rPr>
          <w:rFonts w:hint="eastAsia"/>
          <w:szCs w:val="32"/>
        </w:rPr>
        <w:t>　</w:t>
      </w:r>
      <w:r>
        <w:rPr>
          <w:szCs w:val="32"/>
        </w:rPr>
        <w:t>答辩委员会应当按照规定的程序组织答辩，就学位申请人是否通过答辩形成决议并当场宣布。除内容涉及国家秘密的外，答辩应以公开方式进行。</w:t>
      </w:r>
    </w:p>
    <w:p w14:paraId="5CB85CF6">
      <w:pPr>
        <w:adjustRightInd w:val="0"/>
        <w:snapToGrid w:val="0"/>
        <w:spacing w:line="530" w:lineRule="exact"/>
        <w:ind w:firstLine="640" w:firstLineChars="200"/>
        <w:rPr>
          <w:szCs w:val="32"/>
        </w:rPr>
      </w:pPr>
      <w:r>
        <w:rPr>
          <w:rFonts w:eastAsia="黑体" w:cs="黑体"/>
          <w:szCs w:val="32"/>
        </w:rPr>
        <w:t>第四十条</w:t>
      </w:r>
      <w:r>
        <w:rPr>
          <w:rFonts w:hint="eastAsia"/>
          <w:szCs w:val="32"/>
        </w:rPr>
        <w:t>　</w:t>
      </w:r>
      <w:r>
        <w:rPr>
          <w:szCs w:val="32"/>
        </w:rPr>
        <w:t>答辩程序：</w:t>
      </w:r>
    </w:p>
    <w:p w14:paraId="27D31F3D">
      <w:pPr>
        <w:adjustRightInd w:val="0"/>
        <w:snapToGrid w:val="0"/>
        <w:spacing w:line="530" w:lineRule="exact"/>
        <w:ind w:firstLine="640" w:firstLineChars="200"/>
        <w:rPr>
          <w:szCs w:val="32"/>
        </w:rPr>
      </w:pPr>
      <w:r>
        <w:rPr>
          <w:szCs w:val="32"/>
        </w:rPr>
        <w:t>（一）答辩委员会主席宣布答辩开始，介绍答辩委员会委员并主持会议；</w:t>
      </w:r>
    </w:p>
    <w:p w14:paraId="696220C7">
      <w:pPr>
        <w:adjustRightInd w:val="0"/>
        <w:snapToGrid w:val="0"/>
        <w:spacing w:line="530" w:lineRule="exact"/>
        <w:ind w:firstLine="640" w:firstLineChars="200"/>
        <w:rPr>
          <w:szCs w:val="32"/>
        </w:rPr>
      </w:pPr>
      <w:r>
        <w:rPr>
          <w:szCs w:val="32"/>
        </w:rPr>
        <w:t>（二）申请人报告答辩成果主要内容；</w:t>
      </w:r>
    </w:p>
    <w:p w14:paraId="74906647">
      <w:pPr>
        <w:adjustRightInd w:val="0"/>
        <w:snapToGrid w:val="0"/>
        <w:spacing w:line="530" w:lineRule="exact"/>
        <w:ind w:firstLine="640" w:firstLineChars="200"/>
        <w:rPr>
          <w:szCs w:val="32"/>
        </w:rPr>
      </w:pPr>
      <w:r>
        <w:rPr>
          <w:szCs w:val="32"/>
        </w:rPr>
        <w:t>（三）答辩委员会成员和与会者提问，申请人回答；</w:t>
      </w:r>
    </w:p>
    <w:p w14:paraId="62B0B8E3">
      <w:pPr>
        <w:adjustRightInd w:val="0"/>
        <w:snapToGrid w:val="0"/>
        <w:spacing w:line="530" w:lineRule="exact"/>
        <w:ind w:firstLine="640" w:firstLineChars="200"/>
        <w:rPr>
          <w:szCs w:val="32"/>
        </w:rPr>
      </w:pPr>
      <w:r>
        <w:rPr>
          <w:szCs w:val="32"/>
        </w:rPr>
        <w:t>（四）答辩委员会举行会议（除答辩委员会成员和答辩秘书外，其他人员退场）。结合答辩成果的评阅意见，答辩委员会对答辩成果的学术水平或专业水平和答辩情况进行评议、投票，就申请人是否通过答辩进行表决并作出决议；</w:t>
      </w:r>
    </w:p>
    <w:p w14:paraId="30B1C97D">
      <w:pPr>
        <w:adjustRightInd w:val="0"/>
        <w:snapToGrid w:val="0"/>
        <w:spacing w:line="530" w:lineRule="exact"/>
        <w:ind w:firstLine="640" w:firstLineChars="200"/>
        <w:rPr>
          <w:szCs w:val="32"/>
        </w:rPr>
      </w:pPr>
      <w:r>
        <w:rPr>
          <w:szCs w:val="32"/>
        </w:rPr>
        <w:t>（五）答辩委员会主席当场向申请人宣读决议书。</w:t>
      </w:r>
    </w:p>
    <w:p w14:paraId="2F8B7EE7">
      <w:pPr>
        <w:adjustRightInd w:val="0"/>
        <w:snapToGrid w:val="0"/>
        <w:spacing w:line="530" w:lineRule="exact"/>
        <w:ind w:firstLine="640" w:firstLineChars="200"/>
        <w:rPr>
          <w:szCs w:val="32"/>
        </w:rPr>
      </w:pPr>
      <w:r>
        <w:rPr>
          <w:rFonts w:eastAsia="黑体" w:cs="黑体"/>
          <w:szCs w:val="32"/>
        </w:rPr>
        <w:t>第四十一条</w:t>
      </w:r>
      <w:r>
        <w:rPr>
          <w:rFonts w:hint="eastAsia"/>
          <w:szCs w:val="32"/>
        </w:rPr>
        <w:t>　</w:t>
      </w:r>
      <w:r>
        <w:rPr>
          <w:szCs w:val="32"/>
        </w:rPr>
        <w:t>学位论文或实践成果答辩未通过者，经答辩委员会同意，学位申请人可于</w:t>
      </w:r>
      <w:r>
        <w:rPr>
          <w:rFonts w:eastAsia="Times New Roman"/>
          <w:szCs w:val="32"/>
        </w:rPr>
        <w:t>3</w:t>
      </w:r>
      <w:r>
        <w:rPr>
          <w:szCs w:val="32"/>
        </w:rPr>
        <w:t>个月后重新申请答辩，但不得超过最长修业年限。重新答辩仍不合格者，取消其学位申请资格。</w:t>
      </w:r>
    </w:p>
    <w:p w14:paraId="15902A21">
      <w:pPr>
        <w:adjustRightInd w:val="0"/>
        <w:snapToGrid w:val="0"/>
        <w:spacing w:line="530" w:lineRule="exact"/>
        <w:ind w:firstLine="640" w:firstLineChars="200"/>
        <w:rPr>
          <w:szCs w:val="32"/>
        </w:rPr>
      </w:pPr>
      <w:r>
        <w:rPr>
          <w:rFonts w:eastAsia="黑体" w:cs="黑体"/>
          <w:szCs w:val="32"/>
        </w:rPr>
        <w:t>第四十二条</w:t>
      </w:r>
      <w:r>
        <w:rPr>
          <w:rFonts w:hint="eastAsia"/>
          <w:szCs w:val="32"/>
        </w:rPr>
        <w:t>　</w:t>
      </w:r>
      <w:r>
        <w:rPr>
          <w:szCs w:val="32"/>
        </w:rPr>
        <w:t>答辩会结束后，申请人必须针对答辩过程中专家所提出的问题与建议，对答辩成果作出认真修改，导师应对修改情况严格把关，答辩后修改情况经导师审核通过后，学位申请人方可提交答辩成果进行归档。</w:t>
      </w:r>
    </w:p>
    <w:p w14:paraId="56ACEF08">
      <w:pPr>
        <w:adjustRightInd w:val="0"/>
        <w:snapToGrid w:val="0"/>
        <w:spacing w:line="530" w:lineRule="exact"/>
        <w:ind w:firstLine="640" w:firstLineChars="200"/>
        <w:rPr>
          <w:szCs w:val="32"/>
        </w:rPr>
      </w:pPr>
      <w:r>
        <w:rPr>
          <w:rFonts w:eastAsia="黑体" w:cs="黑体"/>
          <w:szCs w:val="32"/>
        </w:rPr>
        <w:t>第四十三条</w:t>
      </w:r>
      <w:r>
        <w:rPr>
          <w:rFonts w:hint="eastAsia"/>
          <w:szCs w:val="32"/>
        </w:rPr>
        <w:t>　</w:t>
      </w:r>
      <w:r>
        <w:rPr>
          <w:szCs w:val="32"/>
        </w:rPr>
        <w:t>博士学位答辩委员会认为学位申请人的学位论文或实践成果虽未达到博士学位的水平，但已达到硕士学位的水平，且申请人又未获得过本单位该学科、专业硕士学位的，经学位申请人同意，可作出建议授予硕士学位的决议，报送校学位评定委员会审定。</w:t>
      </w:r>
    </w:p>
    <w:p w14:paraId="435AE4D7">
      <w:pPr>
        <w:adjustRightInd w:val="0"/>
        <w:snapToGrid w:val="0"/>
        <w:spacing w:before="156" w:beforeLines="50" w:after="156" w:afterLines="50" w:line="530" w:lineRule="exact"/>
        <w:jc w:val="center"/>
        <w:rPr>
          <w:rFonts w:eastAsia="黑体"/>
          <w:szCs w:val="32"/>
        </w:rPr>
      </w:pPr>
      <w:r>
        <w:rPr>
          <w:rFonts w:eastAsia="黑体"/>
          <w:szCs w:val="32"/>
        </w:rPr>
        <w:t>第八章</w:t>
      </w:r>
      <w:r>
        <w:rPr>
          <w:rFonts w:hint="eastAsia" w:eastAsia="黑体"/>
          <w:szCs w:val="32"/>
        </w:rPr>
        <w:t>　</w:t>
      </w:r>
      <w:r>
        <w:rPr>
          <w:rFonts w:eastAsia="黑体"/>
          <w:szCs w:val="32"/>
        </w:rPr>
        <w:t>学位授予</w:t>
      </w:r>
    </w:p>
    <w:p w14:paraId="1109EB45">
      <w:pPr>
        <w:adjustRightInd w:val="0"/>
        <w:snapToGrid w:val="0"/>
        <w:spacing w:line="530" w:lineRule="exact"/>
        <w:ind w:firstLine="640" w:firstLineChars="200"/>
        <w:rPr>
          <w:szCs w:val="32"/>
        </w:rPr>
      </w:pPr>
      <w:r>
        <w:rPr>
          <w:rFonts w:eastAsia="黑体" w:cs="黑体"/>
          <w:szCs w:val="32"/>
        </w:rPr>
        <w:t>第四十四条</w:t>
      </w:r>
      <w:r>
        <w:rPr>
          <w:rFonts w:hint="eastAsia"/>
          <w:szCs w:val="32"/>
        </w:rPr>
        <w:t>　</w:t>
      </w:r>
      <w:r>
        <w:rPr>
          <w:szCs w:val="32"/>
        </w:rPr>
        <w:t>学院学位评定分委员会应按照学位授予标准，对学位申请人的情况进行全面审查后，方可作出是否建议授予学位的决议。学院学位评定分委员会在否决答辩委员会提请的授予学位建议时，必须对否决原因作出明确的书面解释。学院学位评定分委员会的决议和投票结果，由研究生秘书填写在学位申请表格相应的栏目内，并由学院学位评定分委员会主席签字后，报校学位评定委员会。</w:t>
      </w:r>
    </w:p>
    <w:p w14:paraId="44935D67">
      <w:pPr>
        <w:adjustRightInd w:val="0"/>
        <w:snapToGrid w:val="0"/>
        <w:spacing w:line="530" w:lineRule="exact"/>
        <w:ind w:firstLine="640" w:firstLineChars="200"/>
        <w:rPr>
          <w:szCs w:val="32"/>
        </w:rPr>
      </w:pPr>
      <w:r>
        <w:rPr>
          <w:rFonts w:eastAsia="黑体" w:cs="黑体"/>
          <w:szCs w:val="32"/>
        </w:rPr>
        <w:t>第四十五条</w:t>
      </w:r>
      <w:r>
        <w:rPr>
          <w:rFonts w:hint="eastAsia"/>
          <w:szCs w:val="32"/>
        </w:rPr>
        <w:t>　</w:t>
      </w:r>
      <w:r>
        <w:rPr>
          <w:szCs w:val="32"/>
        </w:rPr>
        <w:t>研究生在攻读学位期间，通过了学位论文或规定的实践成果答辩，但其学术成果尚未达到学校和本学位授予点规定的授予相应学位的要求，可以向所在学院申请毕业。未获得学位的毕业研究生，若在相应学位的最长修业年限内正式取得符合要求的学术成果，可提出学位申请；但在相应学位的最长修业年限内未能正式取得符合要求的学术成果或未提出学位申请的，学校不再接受其学位申请。</w:t>
      </w:r>
    </w:p>
    <w:p w14:paraId="6473201E">
      <w:pPr>
        <w:adjustRightInd w:val="0"/>
        <w:snapToGrid w:val="0"/>
        <w:spacing w:before="156" w:beforeLines="50" w:after="156" w:afterLines="50" w:line="530" w:lineRule="exact"/>
        <w:jc w:val="center"/>
        <w:rPr>
          <w:rFonts w:eastAsia="黑体"/>
          <w:szCs w:val="32"/>
        </w:rPr>
      </w:pPr>
      <w:r>
        <w:rPr>
          <w:rFonts w:eastAsia="黑体"/>
          <w:szCs w:val="32"/>
        </w:rPr>
        <w:t>第九章</w:t>
      </w:r>
      <w:r>
        <w:rPr>
          <w:rFonts w:hint="eastAsia" w:eastAsia="黑体"/>
          <w:szCs w:val="32"/>
        </w:rPr>
        <w:t>　</w:t>
      </w:r>
      <w:r>
        <w:rPr>
          <w:rFonts w:eastAsia="黑体"/>
          <w:szCs w:val="32"/>
        </w:rPr>
        <w:t>学位质量保障</w:t>
      </w:r>
    </w:p>
    <w:p w14:paraId="2FA407B9">
      <w:pPr>
        <w:adjustRightInd w:val="0"/>
        <w:snapToGrid w:val="0"/>
        <w:spacing w:line="530" w:lineRule="exact"/>
        <w:ind w:firstLine="640" w:firstLineChars="200"/>
        <w:rPr>
          <w:szCs w:val="32"/>
        </w:rPr>
      </w:pPr>
      <w:r>
        <w:rPr>
          <w:rFonts w:eastAsia="黑体" w:cs="黑体"/>
          <w:szCs w:val="32"/>
        </w:rPr>
        <w:t>第四十六条</w:t>
      </w:r>
      <w:r>
        <w:rPr>
          <w:rFonts w:hint="eastAsia"/>
          <w:szCs w:val="32"/>
        </w:rPr>
        <w:t>　</w:t>
      </w:r>
      <w:r>
        <w:rPr>
          <w:szCs w:val="32"/>
        </w:rPr>
        <w:t>各学院应当建立本单位学位质量保障制度，加强招生、培养、学位授予等全过程质量管理，及时公开相关信息，接受社会监督，保证授予学位的质量，但《高等学校信息公开办法》第十条规定的除外。</w:t>
      </w:r>
    </w:p>
    <w:p w14:paraId="42C92278">
      <w:pPr>
        <w:adjustRightInd w:val="0"/>
        <w:snapToGrid w:val="0"/>
        <w:spacing w:line="530" w:lineRule="exact"/>
        <w:ind w:firstLine="640" w:firstLineChars="200"/>
        <w:rPr>
          <w:szCs w:val="32"/>
        </w:rPr>
      </w:pPr>
      <w:r>
        <w:rPr>
          <w:rFonts w:eastAsia="黑体" w:cs="黑体"/>
          <w:szCs w:val="32"/>
        </w:rPr>
        <w:t>第四十七条</w:t>
      </w:r>
      <w:r>
        <w:rPr>
          <w:rFonts w:hint="eastAsia"/>
          <w:szCs w:val="32"/>
        </w:rPr>
        <w:t>　</w:t>
      </w:r>
      <w:r>
        <w:rPr>
          <w:szCs w:val="32"/>
        </w:rPr>
        <w:t>各学院应当为研究生配备品行良好、具有较高学术水平或者较强实践能力的教师、科研人员或者专业人员担任指导教师，建立遴选、考核、监督和动态调整</w:t>
      </w:r>
      <w:r>
        <w:rPr>
          <w:rFonts w:hint="eastAsia"/>
          <w:szCs w:val="32"/>
        </w:rPr>
        <w:t>机制。</w:t>
      </w:r>
    </w:p>
    <w:p w14:paraId="393C1C67">
      <w:pPr>
        <w:adjustRightInd w:val="0"/>
        <w:snapToGrid w:val="0"/>
        <w:spacing w:line="530" w:lineRule="exact"/>
        <w:ind w:firstLine="640" w:firstLineChars="200"/>
        <w:rPr>
          <w:szCs w:val="32"/>
        </w:rPr>
      </w:pPr>
      <w:r>
        <w:rPr>
          <w:szCs w:val="32"/>
        </w:rPr>
        <w:t>研究生指导教师应当为人师表，履行立德树人职责，关心爱护学生，指导学生开展相关学术研究和专业实践、遵守学术道德和学术规范、提高学术水平或者专业水平。</w:t>
      </w:r>
    </w:p>
    <w:p w14:paraId="521A67D8">
      <w:pPr>
        <w:adjustRightInd w:val="0"/>
        <w:snapToGrid w:val="0"/>
        <w:spacing w:line="530" w:lineRule="exact"/>
        <w:ind w:firstLine="640" w:firstLineChars="200"/>
        <w:rPr>
          <w:szCs w:val="32"/>
        </w:rPr>
      </w:pPr>
      <w:r>
        <w:rPr>
          <w:rFonts w:eastAsia="黑体" w:cs="黑体"/>
          <w:szCs w:val="32"/>
        </w:rPr>
        <w:t>第四十八条</w:t>
      </w:r>
      <w:r>
        <w:rPr>
          <w:rFonts w:hint="eastAsia"/>
          <w:szCs w:val="32"/>
        </w:rPr>
        <w:t>　</w:t>
      </w:r>
      <w:r>
        <w:rPr>
          <w:szCs w:val="32"/>
        </w:rPr>
        <w:t>学位申请人、学位获得者在攻读该学位过程中有下列情形之一的，经校学位评定委员会决议，我校不授予学位或者撤销学位：</w:t>
      </w:r>
    </w:p>
    <w:p w14:paraId="5A0EADCC">
      <w:pPr>
        <w:adjustRightInd w:val="0"/>
        <w:snapToGrid w:val="0"/>
        <w:spacing w:line="530" w:lineRule="exact"/>
        <w:ind w:firstLine="640" w:firstLineChars="200"/>
        <w:rPr>
          <w:szCs w:val="32"/>
        </w:rPr>
      </w:pPr>
      <w:r>
        <w:rPr>
          <w:szCs w:val="32"/>
        </w:rPr>
        <w:t>（一）学位论文或实践成果被认定为存在代写、剽窃、伪造等学术不端行为；</w:t>
      </w:r>
    </w:p>
    <w:p w14:paraId="002E4D45">
      <w:pPr>
        <w:adjustRightInd w:val="0"/>
        <w:snapToGrid w:val="0"/>
        <w:spacing w:line="530" w:lineRule="exact"/>
        <w:ind w:firstLine="640" w:firstLineChars="200"/>
        <w:rPr>
          <w:szCs w:val="32"/>
        </w:rPr>
      </w:pPr>
      <w:r>
        <w:rPr>
          <w:szCs w:val="32"/>
        </w:rPr>
        <w:t>（二）盗用、冒用他人身份，顶替他人取得的入学资格，或者以其他非法手段取得入学资格、毕业证书；</w:t>
      </w:r>
    </w:p>
    <w:p w14:paraId="0B570199">
      <w:pPr>
        <w:adjustRightInd w:val="0"/>
        <w:snapToGrid w:val="0"/>
        <w:spacing w:line="530" w:lineRule="exact"/>
        <w:ind w:firstLine="664" w:firstLineChars="200"/>
        <w:rPr>
          <w:spacing w:val="6"/>
          <w:szCs w:val="32"/>
        </w:rPr>
      </w:pPr>
      <w:r>
        <w:rPr>
          <w:spacing w:val="6"/>
          <w:szCs w:val="32"/>
        </w:rPr>
        <w:t>（三）攻读期间存在依法不应当授予学位的其他严重违法行为。</w:t>
      </w:r>
    </w:p>
    <w:p w14:paraId="23E50089">
      <w:pPr>
        <w:adjustRightInd w:val="0"/>
        <w:snapToGrid w:val="0"/>
        <w:spacing w:line="530" w:lineRule="exact"/>
        <w:ind w:firstLine="640" w:firstLineChars="200"/>
        <w:rPr>
          <w:szCs w:val="32"/>
        </w:rPr>
      </w:pPr>
      <w:r>
        <w:rPr>
          <w:rFonts w:eastAsia="黑体" w:cs="黑体"/>
          <w:szCs w:val="32"/>
        </w:rPr>
        <w:t>第四十九条</w:t>
      </w:r>
      <w:r>
        <w:rPr>
          <w:rFonts w:hint="eastAsia"/>
          <w:szCs w:val="32"/>
        </w:rPr>
        <w:t>　</w:t>
      </w:r>
      <w:r>
        <w:rPr>
          <w:szCs w:val="32"/>
        </w:rPr>
        <w:t>学校拟作出不授予学位或者撤销学位决定的，应当告知学位申请人或者学位获得者拟作出决定的内容、事实、理由、依据，听取其陈述和申辩。</w:t>
      </w:r>
    </w:p>
    <w:p w14:paraId="2352413B">
      <w:pPr>
        <w:adjustRightInd w:val="0"/>
        <w:snapToGrid w:val="0"/>
        <w:spacing w:line="530" w:lineRule="exact"/>
        <w:ind w:firstLine="640" w:firstLineChars="200"/>
        <w:rPr>
          <w:szCs w:val="32"/>
        </w:rPr>
      </w:pPr>
      <w:r>
        <w:rPr>
          <w:rFonts w:eastAsia="黑体" w:cs="黑体"/>
          <w:szCs w:val="32"/>
        </w:rPr>
        <w:t>第五十条</w:t>
      </w:r>
      <w:r>
        <w:rPr>
          <w:rFonts w:hint="eastAsia"/>
          <w:szCs w:val="32"/>
        </w:rPr>
        <w:t>　</w:t>
      </w:r>
      <w:r>
        <w:rPr>
          <w:szCs w:val="32"/>
        </w:rPr>
        <w:t>学位申请人对专家评阅、答辩、成果认定等过程中相关学术组织或者人员作出的学术评价结论有异议的，可以向相应学位评定委员会申请学术复核。相应学位评定委员会应当自受理学术复核申请之日起三十日内重新组织专家进行复核并作出复核决定，复核决定为最终决定。</w:t>
      </w:r>
    </w:p>
    <w:p w14:paraId="259D4B3D">
      <w:pPr>
        <w:adjustRightInd w:val="0"/>
        <w:snapToGrid w:val="0"/>
        <w:spacing w:line="530" w:lineRule="exact"/>
        <w:ind w:firstLine="640" w:firstLineChars="200"/>
        <w:rPr>
          <w:szCs w:val="32"/>
        </w:rPr>
      </w:pPr>
      <w:r>
        <w:rPr>
          <w:rFonts w:eastAsia="黑体" w:cs="黑体"/>
          <w:szCs w:val="32"/>
        </w:rPr>
        <w:t>第五十一条</w:t>
      </w:r>
      <w:r>
        <w:rPr>
          <w:rFonts w:hint="eastAsia"/>
          <w:szCs w:val="32"/>
        </w:rPr>
        <w:t>　</w:t>
      </w:r>
      <w:r>
        <w:rPr>
          <w:szCs w:val="32"/>
        </w:rPr>
        <w:t>学位申请人或者学位获得者对不受理其学位申请、不授予其学位或者撤销其学位等行为不服的，可以向相应学位评定委员会申请复核。相应学位评定委员会应当自受理复核申请之日起三十日内进行复核并作出复核决定。</w:t>
      </w:r>
    </w:p>
    <w:p w14:paraId="1E5C3A57">
      <w:pPr>
        <w:adjustRightInd w:val="0"/>
        <w:snapToGrid w:val="0"/>
        <w:spacing w:before="156" w:beforeLines="50" w:after="156" w:afterLines="50" w:line="530" w:lineRule="exact"/>
        <w:jc w:val="center"/>
        <w:rPr>
          <w:rFonts w:eastAsia="黑体"/>
          <w:szCs w:val="32"/>
        </w:rPr>
      </w:pPr>
      <w:r>
        <w:rPr>
          <w:rFonts w:eastAsia="黑体"/>
          <w:szCs w:val="32"/>
        </w:rPr>
        <w:t>第十章</w:t>
      </w:r>
      <w:r>
        <w:rPr>
          <w:rFonts w:hint="eastAsia" w:eastAsia="黑体"/>
          <w:szCs w:val="32"/>
        </w:rPr>
        <w:t>　</w:t>
      </w:r>
      <w:r>
        <w:rPr>
          <w:rFonts w:eastAsia="黑体"/>
          <w:szCs w:val="32"/>
        </w:rPr>
        <w:t>附则</w:t>
      </w:r>
    </w:p>
    <w:p w14:paraId="5336EF43">
      <w:pPr>
        <w:adjustRightInd w:val="0"/>
        <w:snapToGrid w:val="0"/>
        <w:spacing w:line="530" w:lineRule="exact"/>
        <w:ind w:firstLine="640" w:firstLineChars="200"/>
        <w:rPr>
          <w:szCs w:val="32"/>
        </w:rPr>
      </w:pPr>
      <w:r>
        <w:rPr>
          <w:rFonts w:eastAsia="黑体" w:cs="黑体"/>
          <w:szCs w:val="32"/>
        </w:rPr>
        <w:t>第五十二条</w:t>
      </w:r>
      <w:r>
        <w:rPr>
          <w:rFonts w:hint="eastAsia"/>
          <w:szCs w:val="32"/>
        </w:rPr>
        <w:t>　</w:t>
      </w:r>
      <w:r>
        <w:rPr>
          <w:szCs w:val="32"/>
        </w:rPr>
        <w:t>对在学术或者专门领域、在推进科学教育和文化交流合作方面做出突出贡献，或者对世界和平与人类发展有重大贡献的个人，经校学位评定委员会审议通过，报国务院学位委员会批准后，可以授予名誉博士学位。</w:t>
      </w:r>
    </w:p>
    <w:p w14:paraId="7D85C2C0">
      <w:pPr>
        <w:adjustRightInd w:val="0"/>
        <w:snapToGrid w:val="0"/>
        <w:spacing w:line="530" w:lineRule="exact"/>
        <w:ind w:firstLine="640" w:firstLineChars="200"/>
        <w:rPr>
          <w:szCs w:val="32"/>
        </w:rPr>
      </w:pPr>
      <w:r>
        <w:rPr>
          <w:rFonts w:eastAsia="黑体" w:cs="黑体"/>
          <w:szCs w:val="32"/>
        </w:rPr>
        <w:t>第五十三条</w:t>
      </w:r>
      <w:r>
        <w:rPr>
          <w:rFonts w:hint="eastAsia"/>
          <w:szCs w:val="32"/>
        </w:rPr>
        <w:t>　</w:t>
      </w:r>
      <w:r>
        <w:rPr>
          <w:szCs w:val="32"/>
        </w:rPr>
        <w:t>对申请学位的境外个人，申请学位的相关</w:t>
      </w:r>
      <w:r>
        <w:rPr>
          <w:rFonts w:hint="eastAsia"/>
          <w:szCs w:val="32"/>
        </w:rPr>
        <w:t>科研成果要求由各学位授权点（或学院）根据实际情况制定，</w:t>
      </w:r>
      <w:r>
        <w:rPr>
          <w:szCs w:val="32"/>
        </w:rPr>
        <w:t>报校研究生管理部门备案。对于全英文授课的来华留学研究生，学位论文或实践成果可用英文撰写，但须有较详细的中文摘要。</w:t>
      </w:r>
    </w:p>
    <w:p w14:paraId="0F8D4D5E">
      <w:pPr>
        <w:adjustRightInd w:val="0"/>
        <w:snapToGrid w:val="0"/>
        <w:spacing w:line="530" w:lineRule="exact"/>
        <w:ind w:firstLine="640" w:firstLineChars="200"/>
        <w:rPr>
          <w:szCs w:val="32"/>
        </w:rPr>
      </w:pPr>
      <w:r>
        <w:rPr>
          <w:rFonts w:eastAsia="黑体" w:cs="黑体"/>
          <w:szCs w:val="32"/>
        </w:rPr>
        <w:t>第五十四条</w:t>
      </w:r>
      <w:r>
        <w:rPr>
          <w:rFonts w:hint="eastAsia"/>
          <w:szCs w:val="32"/>
        </w:rPr>
        <w:t>　</w:t>
      </w:r>
      <w:r>
        <w:rPr>
          <w:szCs w:val="32"/>
        </w:rPr>
        <w:t>各学位点可根据本学位点实际，制定科研成果要求的补充条款，并经学院学位评定分委员会审定后报学校研究生管理部门审核备案。</w:t>
      </w:r>
    </w:p>
    <w:p w14:paraId="3ADDCE50">
      <w:pPr>
        <w:adjustRightInd w:val="0"/>
        <w:snapToGrid w:val="0"/>
        <w:spacing w:line="530" w:lineRule="exact"/>
        <w:ind w:firstLine="640" w:firstLineChars="200"/>
        <w:rPr>
          <w:szCs w:val="32"/>
        </w:rPr>
      </w:pPr>
      <w:r>
        <w:rPr>
          <w:rFonts w:eastAsia="黑体" w:cs="黑体"/>
          <w:szCs w:val="32"/>
        </w:rPr>
        <w:t>第五十五条</w:t>
      </w:r>
      <w:r>
        <w:rPr>
          <w:rFonts w:hint="eastAsia"/>
          <w:szCs w:val="32"/>
        </w:rPr>
        <w:t>　</w:t>
      </w:r>
      <w:r>
        <w:rPr>
          <w:szCs w:val="32"/>
        </w:rPr>
        <w:t>校学位评定委员会如发现学位错授，通过复议，可以作出撤销学位的决定。</w:t>
      </w:r>
    </w:p>
    <w:p w14:paraId="6A40B19F">
      <w:pPr>
        <w:adjustRightInd w:val="0"/>
        <w:snapToGrid w:val="0"/>
        <w:spacing w:line="530" w:lineRule="exact"/>
        <w:ind w:firstLine="640" w:firstLineChars="200"/>
        <w:rPr>
          <w:szCs w:val="32"/>
        </w:rPr>
      </w:pPr>
      <w:r>
        <w:rPr>
          <w:rFonts w:eastAsia="黑体" w:cs="黑体"/>
          <w:szCs w:val="32"/>
        </w:rPr>
        <w:t>第五十六条</w:t>
      </w:r>
      <w:r>
        <w:rPr>
          <w:rFonts w:hint="eastAsia"/>
          <w:szCs w:val="32"/>
        </w:rPr>
        <w:t>　</w:t>
      </w:r>
      <w:r>
        <w:rPr>
          <w:szCs w:val="32"/>
        </w:rPr>
        <w:t>本细则经校学位评定委员会讨论通过</w:t>
      </w:r>
      <w:r>
        <w:rPr>
          <w:rFonts w:hint="eastAsia"/>
          <w:szCs w:val="32"/>
        </w:rPr>
        <w:t>，</w:t>
      </w:r>
      <w:r>
        <w:rPr>
          <w:szCs w:val="32"/>
        </w:rPr>
        <w:t>自发布之日起实施，由校学位评定委员会负责解释。《浙江师范大学博士、硕士学位授予工作细则（修订）》（浙师研字</w:t>
      </w:r>
      <w:r>
        <w:rPr>
          <w:rFonts w:hint="eastAsia"/>
          <w:szCs w:val="32"/>
        </w:rPr>
        <w:t>〔</w:t>
      </w:r>
      <w:r>
        <w:rPr>
          <w:rFonts w:eastAsia="Times New Roman"/>
          <w:szCs w:val="32"/>
        </w:rPr>
        <w:t>2019</w:t>
      </w:r>
      <w:r>
        <w:rPr>
          <w:rFonts w:hint="eastAsia"/>
          <w:szCs w:val="32"/>
        </w:rPr>
        <w:t>〕</w:t>
      </w:r>
      <w:r>
        <w:rPr>
          <w:rFonts w:eastAsia="Times New Roman"/>
          <w:szCs w:val="32"/>
        </w:rPr>
        <w:t>20</w:t>
      </w:r>
      <w:r>
        <w:rPr>
          <w:szCs w:val="32"/>
        </w:rPr>
        <w:t>号）同时废止。</w:t>
      </w:r>
    </w:p>
    <w:p w14:paraId="66C5F6F6">
      <w:pPr>
        <w:adjustRightInd w:val="0"/>
        <w:snapToGrid w:val="0"/>
      </w:pPr>
    </w:p>
    <w:p w14:paraId="53A03B92">
      <w:pPr>
        <w:adjustRightInd w:val="0"/>
        <w:snapToGrid w:val="0"/>
      </w:pPr>
    </w:p>
    <w:tbl>
      <w:tblPr>
        <w:tblStyle w:val="8"/>
        <w:tblpPr w:leftFromText="181" w:rightFromText="181" w:horzAnchor="margin" w:tblpYSpec="bottom"/>
        <w:tblW w:w="0" w:type="auto"/>
        <w:tblInd w:w="0" w:type="dxa"/>
        <w:tblLayout w:type="fixed"/>
        <w:tblCellMar>
          <w:top w:w="0" w:type="dxa"/>
          <w:left w:w="0" w:type="dxa"/>
          <w:bottom w:w="0" w:type="dxa"/>
          <w:right w:w="0" w:type="dxa"/>
        </w:tblCellMar>
      </w:tblPr>
      <w:tblGrid>
        <w:gridCol w:w="4511"/>
        <w:gridCol w:w="4512"/>
      </w:tblGrid>
      <w:tr w14:paraId="168C1C82">
        <w:trPr>
          <w:cantSplit/>
          <w:trHeight w:val="567" w:hRule="atLeast"/>
        </w:trPr>
        <w:tc>
          <w:tcPr>
            <w:tcW w:w="9023" w:type="dxa"/>
            <w:gridSpan w:val="2"/>
            <w:tcBorders>
              <w:top w:val="single" w:color="auto" w:sz="8" w:space="0"/>
              <w:bottom w:val="single" w:color="auto" w:sz="4" w:space="0"/>
            </w:tcBorders>
            <w:vAlign w:val="center"/>
          </w:tcPr>
          <w:p w14:paraId="451A21B6">
            <w:pPr>
              <w:adjustRightInd w:val="0"/>
              <w:snapToGrid w:val="0"/>
              <w:spacing w:line="240" w:lineRule="auto"/>
              <w:jc w:val="left"/>
              <w:rPr>
                <w:sz w:val="28"/>
              </w:rPr>
            </w:pPr>
            <w:r>
              <w:rPr>
                <w:sz w:val="28"/>
              </w:rPr>
              <w:t>　抄送：</w:t>
            </w:r>
            <w:bookmarkStart w:id="3" w:name="抄送单位"/>
            <w:r>
              <w:rPr>
                <w:rFonts w:hint="eastAsia"/>
                <w:sz w:val="28"/>
              </w:rPr>
              <w:t>各党委、党总支，行知学院。</w:t>
            </w:r>
            <w:bookmarkEnd w:id="3"/>
          </w:p>
        </w:tc>
      </w:tr>
      <w:tr w14:paraId="03AE532C">
        <w:tblPrEx>
          <w:tblCellMar>
            <w:top w:w="0" w:type="dxa"/>
            <w:left w:w="0" w:type="dxa"/>
            <w:bottom w:w="0" w:type="dxa"/>
            <w:right w:w="0" w:type="dxa"/>
          </w:tblCellMar>
        </w:tblPrEx>
        <w:trPr>
          <w:cantSplit/>
          <w:trHeight w:val="567" w:hRule="exact"/>
        </w:trPr>
        <w:tc>
          <w:tcPr>
            <w:tcW w:w="4511" w:type="dxa"/>
            <w:tcBorders>
              <w:top w:val="single" w:color="auto" w:sz="4" w:space="0"/>
              <w:bottom w:val="single" w:color="auto" w:sz="8" w:space="0"/>
            </w:tcBorders>
            <w:vAlign w:val="center"/>
          </w:tcPr>
          <w:p w14:paraId="182E7574">
            <w:pPr>
              <w:adjustRightInd w:val="0"/>
              <w:snapToGrid w:val="0"/>
              <w:spacing w:line="240" w:lineRule="auto"/>
              <w:rPr>
                <w:sz w:val="28"/>
              </w:rPr>
            </w:pPr>
            <w:r>
              <w:rPr>
                <w:sz w:val="28"/>
              </w:rPr>
              <w:t>　</w:t>
            </w:r>
            <w:r>
              <w:rPr>
                <w:rFonts w:hint="eastAsia"/>
                <w:sz w:val="28"/>
              </w:rPr>
              <w:t>浙江师范大学办公室</w:t>
            </w:r>
          </w:p>
        </w:tc>
        <w:tc>
          <w:tcPr>
            <w:tcW w:w="4512" w:type="dxa"/>
            <w:tcBorders>
              <w:top w:val="single" w:color="auto" w:sz="4" w:space="0"/>
              <w:bottom w:val="single" w:color="auto" w:sz="8" w:space="0"/>
            </w:tcBorders>
            <w:vAlign w:val="center"/>
          </w:tcPr>
          <w:p w14:paraId="495CAEE5">
            <w:pPr>
              <w:adjustRightInd w:val="0"/>
              <w:snapToGrid w:val="0"/>
              <w:spacing w:line="240" w:lineRule="auto"/>
              <w:ind w:right="320" w:rightChars="100"/>
              <w:jc w:val="right"/>
              <w:rPr>
                <w:sz w:val="28"/>
              </w:rPr>
            </w:pPr>
            <w:bookmarkStart w:id="4" w:name="印发日期"/>
            <w:r>
              <w:rPr>
                <w:rFonts w:cs="宋体"/>
                <w:kern w:val="0"/>
                <w:sz w:val="28"/>
              </w:rPr>
              <w:t>2025年4月14日印发</w:t>
            </w:r>
            <w:bookmarkEnd w:id="4"/>
          </w:p>
        </w:tc>
      </w:tr>
    </w:tbl>
    <w:p w14:paraId="51B97981">
      <w:pPr>
        <w:adjustRightInd w:val="0"/>
        <w:snapToGrid w:val="0"/>
      </w:pPr>
    </w:p>
    <w:sectPr>
      <w:headerReference r:id="rId7" w:type="first"/>
      <w:footerReference r:id="rId10" w:type="first"/>
      <w:headerReference r:id="rId5" w:type="default"/>
      <w:footerReference r:id="rId8" w:type="default"/>
      <w:headerReference r:id="rId6" w:type="even"/>
      <w:footerReference r:id="rId9"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681FE">
    <w:pPr>
      <w:pStyle w:val="5"/>
      <w:wordWrap w:val="0"/>
      <w:ind w:right="11"/>
      <w:jc w:val="right"/>
      <w:rPr>
        <w:rFonts w:ascii="楷体_GB2312"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1</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docPartObj>
        <w:docPartGallery w:val="autotext"/>
      </w:docPartObj>
    </w:sdtPr>
    <w:sdtContent>
      <w:p w14:paraId="113484FB">
        <w:pPr>
          <w:pStyle w:val="5"/>
          <w:ind w:left="320" w:leftChars="100"/>
          <w:rPr>
            <w:rFonts w:eastAsia="楷体_GB2312"/>
            <w:sz w:val="28"/>
          </w:rPr>
        </w:pPr>
        <w:r>
          <w:rPr>
            <w:rStyle w:val="10"/>
            <w:rFonts w:hint="eastAsia" w:eastAsia="楷体_GB2312"/>
            <w:sz w:val="28"/>
          </w:rPr>
          <w:t xml:space="preserve">— </w:t>
        </w:r>
        <w:r>
          <w:rPr>
            <w:rFonts w:ascii="Times New Roman" w:hAnsi="Times New Roman" w:eastAsia="楷体_GB2312" w:cs="Times New Roman"/>
            <w:sz w:val="28"/>
          </w:rPr>
          <w:fldChar w:fldCharType="begin"/>
        </w:r>
        <w:r>
          <w:rPr>
            <w:rStyle w:val="10"/>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2</w:t>
        </w:r>
        <w:r>
          <w:rPr>
            <w:rFonts w:ascii="Times New Roman" w:hAnsi="Times New Roman" w:eastAsia="楷体_GB2312" w:cs="Times New Roman"/>
            <w:sz w:val="28"/>
          </w:rPr>
          <w:fldChar w:fldCharType="end"/>
        </w:r>
        <w:r>
          <w:rPr>
            <w:rFonts w:hint="eastAsia" w:eastAsia="楷体_GB2312"/>
            <w:sz w:val="28"/>
          </w:rPr>
          <w:t xml:space="preserve"> </w:t>
        </w:r>
        <w:r>
          <w:rPr>
            <w:rStyle w:val="10"/>
            <w:rFonts w:hint="eastAsia" w:eastAsia="楷体_GB2312"/>
            <w:sz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B98EB">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9C20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CAA0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FCE9">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55a24bec-eaeb-45c4-8e2c-9219e296e525&amp;fileid=423810&amp;type=document&amp;isofficeview=0"/>
  </w:docVars>
  <w:rsids>
    <w:rsidRoot w:val="007A71A9"/>
    <w:rsid w:val="0005360B"/>
    <w:rsid w:val="000C32AE"/>
    <w:rsid w:val="000D2CC5"/>
    <w:rsid w:val="000E644D"/>
    <w:rsid w:val="00111DCA"/>
    <w:rsid w:val="001965F2"/>
    <w:rsid w:val="001C7A7D"/>
    <w:rsid w:val="001E3E44"/>
    <w:rsid w:val="0023353A"/>
    <w:rsid w:val="00253E5E"/>
    <w:rsid w:val="002D4483"/>
    <w:rsid w:val="003644D8"/>
    <w:rsid w:val="00375DDB"/>
    <w:rsid w:val="00411D5B"/>
    <w:rsid w:val="00502892"/>
    <w:rsid w:val="00555B46"/>
    <w:rsid w:val="005C1859"/>
    <w:rsid w:val="006172E5"/>
    <w:rsid w:val="00624D25"/>
    <w:rsid w:val="00625481"/>
    <w:rsid w:val="00661BF3"/>
    <w:rsid w:val="0067244B"/>
    <w:rsid w:val="0067597A"/>
    <w:rsid w:val="00691A3F"/>
    <w:rsid w:val="006D2E57"/>
    <w:rsid w:val="006D34FF"/>
    <w:rsid w:val="00785658"/>
    <w:rsid w:val="007A71A9"/>
    <w:rsid w:val="007A72F4"/>
    <w:rsid w:val="007B6B0B"/>
    <w:rsid w:val="007D4046"/>
    <w:rsid w:val="00814E37"/>
    <w:rsid w:val="00844E79"/>
    <w:rsid w:val="00845280"/>
    <w:rsid w:val="009269F7"/>
    <w:rsid w:val="00992B26"/>
    <w:rsid w:val="009C523D"/>
    <w:rsid w:val="009E161B"/>
    <w:rsid w:val="00A67889"/>
    <w:rsid w:val="00AD6C50"/>
    <w:rsid w:val="00AE0ACC"/>
    <w:rsid w:val="00B07E68"/>
    <w:rsid w:val="00B33787"/>
    <w:rsid w:val="00B47119"/>
    <w:rsid w:val="00B67DB2"/>
    <w:rsid w:val="00B7021F"/>
    <w:rsid w:val="00B73BE4"/>
    <w:rsid w:val="00BB01E7"/>
    <w:rsid w:val="00C008F5"/>
    <w:rsid w:val="00C51482"/>
    <w:rsid w:val="00DE51E4"/>
    <w:rsid w:val="00DE6F1D"/>
    <w:rsid w:val="00E11710"/>
    <w:rsid w:val="00E273ED"/>
    <w:rsid w:val="00E37EDB"/>
    <w:rsid w:val="00E45A11"/>
    <w:rsid w:val="00E61C08"/>
    <w:rsid w:val="00E72625"/>
    <w:rsid w:val="00EC3FFD"/>
    <w:rsid w:val="00EF028C"/>
    <w:rsid w:val="00F007B3"/>
    <w:rsid w:val="00F030F1"/>
    <w:rsid w:val="00F331F8"/>
    <w:rsid w:val="00F7307B"/>
    <w:rsid w:val="3A3058E3"/>
    <w:rsid w:val="41EB496E"/>
    <w:rsid w:val="52E13114"/>
    <w:rsid w:val="63F77208"/>
    <w:rsid w:val="78917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ody Text"/>
    <w:basedOn w:val="1"/>
    <w:link w:val="18"/>
    <w:semiHidden/>
    <w:qFormat/>
    <w:uiPriority w:val="0"/>
    <w:pPr>
      <w:widowControl/>
      <w:kinsoku w:val="0"/>
      <w:autoSpaceDE w:val="0"/>
      <w:autoSpaceDN w:val="0"/>
      <w:adjustRightInd w:val="0"/>
      <w:snapToGrid w:val="0"/>
      <w:spacing w:line="240" w:lineRule="auto"/>
      <w:jc w:val="left"/>
      <w:textAlignment w:val="baseline"/>
    </w:pPr>
    <w:rPr>
      <w:rFonts w:ascii="仿宋" w:hAnsi="仿宋" w:eastAsia="仿宋" w:cs="仿宋"/>
      <w:snapToGrid w:val="0"/>
      <w:color w:val="000000"/>
      <w:kern w:val="0"/>
      <w:sz w:val="31"/>
      <w:szCs w:val="31"/>
      <w:lang w:eastAsia="en-US"/>
    </w:rPr>
  </w:style>
  <w:style w:type="paragraph" w:styleId="4">
    <w:name w:val="Balloon Text"/>
    <w:basedOn w:val="1"/>
    <w:link w:val="16"/>
    <w:semiHidden/>
    <w:unhideWhenUsed/>
    <w:qFormat/>
    <w:uiPriority w:val="99"/>
    <w:pPr>
      <w:spacing w:line="240" w:lineRule="auto"/>
    </w:pPr>
    <w:rPr>
      <w:sz w:val="18"/>
      <w:szCs w:val="18"/>
    </w:rPr>
  </w:style>
  <w:style w:type="paragraph" w:styleId="5">
    <w:name w:val="footer"/>
    <w:basedOn w:val="1"/>
    <w:link w:val="13"/>
    <w:unhideWhenUsed/>
    <w:qFormat/>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7">
    <w:name w:val="annotation subject"/>
    <w:basedOn w:val="2"/>
    <w:next w:val="2"/>
    <w:link w:val="15"/>
    <w:semiHidden/>
    <w:unhideWhenUsed/>
    <w:qFormat/>
    <w:uiPriority w:val="99"/>
    <w:rPr>
      <w:b/>
      <w:bCs/>
    </w:rPr>
  </w:style>
  <w:style w:type="character" w:styleId="10">
    <w:name w:val="page number"/>
    <w:basedOn w:val="9"/>
    <w:qFormat/>
    <w:uiPriority w:val="0"/>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文字 字符"/>
    <w:basedOn w:val="9"/>
    <w:link w:val="2"/>
    <w:semiHidden/>
    <w:qFormat/>
    <w:uiPriority w:val="99"/>
    <w:rPr>
      <w:rFonts w:ascii="Times New Roman" w:hAnsi="Times New Roman" w:eastAsia="仿宋_GB2312" w:cs="Times New Roman"/>
      <w:sz w:val="32"/>
      <w:szCs w:val="20"/>
    </w:rPr>
  </w:style>
  <w:style w:type="character" w:customStyle="1" w:styleId="15">
    <w:name w:val="批注主题 字符"/>
    <w:basedOn w:val="14"/>
    <w:link w:val="7"/>
    <w:semiHidden/>
    <w:qFormat/>
    <w:uiPriority w:val="99"/>
    <w:rPr>
      <w:rFonts w:ascii="Times New Roman" w:hAnsi="Times New Roman" w:eastAsia="仿宋_GB2312" w:cs="Times New Roman"/>
      <w:b/>
      <w:bCs/>
      <w:sz w:val="32"/>
      <w:szCs w:val="20"/>
    </w:rPr>
  </w:style>
  <w:style w:type="character" w:customStyle="1" w:styleId="16">
    <w:name w:val="批注框文本 字符"/>
    <w:basedOn w:val="9"/>
    <w:link w:val="4"/>
    <w:semiHidden/>
    <w:qFormat/>
    <w:uiPriority w:val="99"/>
    <w:rPr>
      <w:rFonts w:ascii="Times New Roman" w:hAnsi="Times New Roman" w:eastAsia="仿宋_GB2312" w:cs="Times New Roman"/>
      <w:sz w:val="18"/>
      <w:szCs w:val="18"/>
    </w:rPr>
  </w:style>
  <w:style w:type="paragraph" w:customStyle="1" w:styleId="17">
    <w:name w:val="修订1"/>
    <w:hidden/>
    <w:semiHidden/>
    <w:qFormat/>
    <w:uiPriority w:val="99"/>
    <w:rPr>
      <w:rFonts w:ascii="Times New Roman" w:hAnsi="Times New Roman" w:eastAsia="仿宋_GB2312" w:cs="Times New Roman"/>
      <w:kern w:val="2"/>
      <w:sz w:val="32"/>
      <w:lang w:val="en-US" w:eastAsia="zh-CN" w:bidi="ar-SA"/>
    </w:rPr>
  </w:style>
  <w:style w:type="character" w:customStyle="1" w:styleId="18">
    <w:name w:val="正文文本 字符"/>
    <w:basedOn w:val="9"/>
    <w:link w:val="3"/>
    <w:semiHidden/>
    <w:qFormat/>
    <w:uiPriority w:val="0"/>
    <w:rPr>
      <w:rFonts w:ascii="仿宋" w:hAnsi="仿宋" w:eastAsia="仿宋" w:cs="仿宋"/>
      <w:snapToGrid w:val="0"/>
      <w:color w:val="000000"/>
      <w:kern w:val="0"/>
      <w:sz w:val="31"/>
      <w:szCs w:val="31"/>
      <w:lang w:eastAsia="en-US"/>
    </w:rPr>
  </w:style>
  <w:style w:type="paragraph" w:customStyle="1" w:styleId="19">
    <w:name w:val="Revision"/>
    <w:hidden/>
    <w:unhideWhenUsed/>
    <w:qFormat/>
    <w:uiPriority w:val="99"/>
    <w:rPr>
      <w:rFonts w:ascii="Times New Roman" w:hAnsi="Times New Roman" w:eastAsia="仿宋_GB2312" w:cs="Times New Roman"/>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122</Words>
  <Characters>130</Characters>
  <Lines>65</Lines>
  <Paragraphs>18</Paragraphs>
  <TotalTime>0</TotalTime>
  <ScaleCrop>false</ScaleCrop>
  <LinksUpToDate>false</LinksUpToDate>
  <CharactersWithSpaces>130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2025-04-15T07:32:00Z</dcterms:created>
  <dc:creator>艾国成</dc:creator>
  <cp:lastModifiedBy>邢晶</cp:lastModifiedBy>
  <dcterms:modified xsi:type="dcterms:W3CDTF">2026-06-02T01:06:02Z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eyJoZGlkIjoiNzkxYzEyODIzZjk1ZjUyYjg3NDFjYTU5ZjEzMjc1MGIiLCJ1c2VySWQiOiIzMjY5ODU0ODYifQ==</vt:lpwstr>
  </property>
  <property fmtid="{D5CDD505-2E9C-101B-9397-08002B2CF9AE}" pid="3" name="KSOProductBuildVer">
    <vt:lpwstr>2052-12.1.0.26895</vt:lpwstr>
  </property>
  <property fmtid="{D5CDD505-2E9C-101B-9397-08002B2CF9AE}" pid="4" name="ICV">
    <vt:lpwstr>E1FAA8643AA043998BD4BB0AA8508ECE_13</vt:lpwstr>
  </property>
</Properties>
</file>